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Performance</w:t>
      </w:r>
      <w:r>
        <w:t xml:space="preserve"> </w:t>
      </w:r>
      <w:r>
        <w:t xml:space="preserve">(Q3</w:t>
      </w:r>
      <w:r>
        <w:t xml:space="preserve"> </w:t>
      </w:r>
      <w:r>
        <w:t xml:space="preserve">2023)</w:t>
      </w:r>
    </w:p>
    <w:bookmarkStart w:id="27" w:name="Xba644c6a996d6363ce8fc3137f222be63174cba"/>
    <w:p>
      <w:pPr>
        <w:pStyle w:val="Heading1"/>
      </w:pPr>
      <w:r>
        <w:t xml:space="preserve">Quarterly Sales Report for Pharmacists in Thailand Bangkok</w:t>
      </w:r>
    </w:p>
    <w:p>
      <w:pPr>
        <w:pStyle w:val="FirstParagraph"/>
      </w:pPr>
      <w:r>
        <w:rPr>
          <w:bCs/>
          <w:b/>
        </w:rPr>
        <w:t xml:space="preserve">Period Covered:</w:t>
      </w:r>
      <w:r>
        <w:t xml:space="preserve"> </w:t>
      </w:r>
      <w:r>
        <w:t xml:space="preserve">July 1, 2023 - September 30, 2023</w:t>
      </w:r>
      <w:r>
        <w:br/>
      </w:r>
      <w:r>
        <w:rPr>
          <w:bCs/>
          <w:b/>
        </w:rPr>
        <w:t xml:space="preserve">Prepared For:</w:t>
      </w:r>
      <w:r>
        <w:t xml:space="preserve"> </w:t>
      </w:r>
      <w:r>
        <w:t xml:space="preserve">Bangkok Pharmacy Network Management</w:t>
      </w:r>
      <w:r>
        <w:br/>
      </w:r>
      <w:r>
        <w:rPr>
          <w:bCs/>
          <w:b/>
        </w:rPr>
        <w:t xml:space="preserve">Date Prepared:</w:t>
      </w:r>
      <w:r>
        <w:t xml:space="preserve"> </w:t>
      </w:r>
      <w:r>
        <w:t xml:space="preserve">October 15, 2023</w:t>
      </w:r>
    </w:p>
    <w:bookmarkStart w:id="20" w:name="executive-summary"/>
    <w:p>
      <w:pPr>
        <w:pStyle w:val="Heading2"/>
      </w:pPr>
      <w:r>
        <w:t xml:space="preserve">Executive Summary</w:t>
      </w:r>
    </w:p>
    <w:p>
      <w:pPr>
        <w:pStyle w:val="FirstParagraph"/>
      </w:pPr>
      <w:r>
        <w:t xml:space="preserve">This comprehensive Sales Report details the performance of licensed Pharmacists operating across the bustling retail pharmacy sector in Thailand Bangkok. The quarter demonstrated robust growth (+14.7% YoY) driven by heightened consumer health awareness, strategic pharmacist-led consultations, and targeted promotions on essential healthcare products within Bangkok's dense urban landscape. Pharmacists played a pivotal role as clinical advisors, directly influencing sales volume and customer loyalty across 280+ pharmacies in the metropolitan area.</w:t>
      </w:r>
    </w:p>
    <w:bookmarkEnd w:id="20"/>
    <w:bookmarkStart w:id="21" w:name="key-sales-metrics-performance-highlights"/>
    <w:p>
      <w:pPr>
        <w:pStyle w:val="Heading2"/>
      </w:pPr>
      <w:r>
        <w:t xml:space="preserve">Key Sales Metrics &amp; Performance Highlights</w:t>
      </w:r>
    </w:p>
    <w:p>
      <w:pPr>
        <w:pStyle w:val="FirstParagraph"/>
      </w:pPr>
      <w:r>
        <w:t xml:space="preserve">Product Category</w:t>
      </w:r>
    </w:p>
    <w:p>
      <w:pPr>
        <w:pStyle w:val="BodyText"/>
      </w:pPr>
      <w:r>
        <w:t xml:space="preserve">Q3 2023 Sales (THB)</w:t>
      </w:r>
    </w:p>
    <w:p>
      <w:pPr>
        <w:pStyle w:val="BodyText"/>
      </w:pPr>
      <w:r>
        <w:t xml:space="preserve">% of Total Sales</w:t>
      </w:r>
    </w:p>
    <w:p>
      <w:pPr>
        <w:pStyle w:val="BodyText"/>
      </w:pPr>
      <w:r>
        <w:t xml:space="preserve">% Change vs Q3 2022</w:t>
      </w:r>
    </w:p>
    <w:p>
      <w:pPr>
        <w:pStyle w:val="BodyText"/>
      </w:pPr>
      <w:r>
        <w:t xml:space="preserve">Over-the-Counter Medications (OTC)</w:t>
      </w:r>
    </w:p>
    <w:p>
      <w:pPr>
        <w:pStyle w:val="BodyText"/>
      </w:pPr>
      <w:r>
        <w:t xml:space="preserve">18,450,000</w:t>
      </w:r>
    </w:p>
    <w:p>
      <w:pPr>
        <w:pStyle w:val="BodyText"/>
      </w:pPr>
      <w:r>
        <w:t xml:space="preserve">48.3%</w:t>
      </w:r>
    </w:p>
    <w:p>
      <w:pPr>
        <w:pStyle w:val="BodyText"/>
      </w:pPr>
      <w:r>
        <w:t xml:space="preserve">+17.2%</w:t>
      </w:r>
    </w:p>
    <w:p>
      <w:pPr>
        <w:pStyle w:val="BodyText"/>
      </w:pPr>
      <w:r>
        <w:t xml:space="preserve">Health &amp; Wellness Products (Vitamins, Supplements)</w:t>
      </w:r>
    </w:p>
    <w:p>
      <w:pPr>
        <w:pStyle w:val="BodyText"/>
      </w:pPr>
      <w:r>
        <w:t xml:space="preserve">&lt;</w:t>
      </w:r>
    </w:p>
    <w:p>
      <w:pPr>
        <w:pStyle w:val="BodyText"/>
      </w:pPr>
      <w:r>
        <w:t xml:space="preserve">9,820,000</w:t>
      </w:r>
    </w:p>
    <w:p>
      <w:pPr>
        <w:pStyle w:val="BodyText"/>
      </w:pPr>
      <w:r>
        <w:t xml:space="preserve">25.7%</w:t>
      </w:r>
    </w:p>
    <w:p>
      <w:pPr>
        <w:pStyle w:val="BodyText"/>
      </w:pPr>
      <w:r>
        <w:t xml:space="preserve">+11.8%</w:t>
      </w:r>
    </w:p>
    <w:p>
      <w:pPr>
        <w:pStyle w:val="BodyText"/>
      </w:pPr>
      <w:r>
        <w:t xml:space="preserve">Dermatology &amp; Personal Care</w:t>
      </w:r>
    </w:p>
    <w:p>
      <w:pPr>
        <w:pStyle w:val="BodyText"/>
      </w:pPr>
      <w:r>
        <w:t xml:space="preserve">6,750,000</w:t>
      </w:r>
    </w:p>
    <w:p>
      <w:pPr>
        <w:pStyle w:val="BodyText"/>
      </w:pPr>
      <w:r>
        <w:t xml:space="preserve">&lt;</w:t>
      </w:r>
    </w:p>
    <w:p>
      <w:pPr>
        <w:pStyle w:val="BodyText"/>
      </w:pPr>
      <w:r>
        <w:t xml:space="preserve">17.6%</w:t>
      </w:r>
    </w:p>
    <w:p>
      <w:pPr>
        <w:pStyle w:val="BodyText"/>
      </w:pPr>
      <w:r>
        <w:t xml:space="preserve">+9.4%</w:t>
      </w:r>
    </w:p>
    <w:p>
      <w:pPr>
        <w:pStyle w:val="BodyText"/>
      </w:pPr>
      <w:r>
        <w:t xml:space="preserve">Medical Devices &amp; First Aid</w:t>
      </w:r>
    </w:p>
    <w:p>
      <w:pPr>
        <w:pStyle w:val="BodyText"/>
      </w:pPr>
      <w:r>
        <w:t xml:space="preserve">3,250,000</w:t>
      </w:r>
    </w:p>
    <w:p>
      <w:pPr>
        <w:pStyle w:val="BodyText"/>
      </w:pPr>
      <w:r>
        <w:t xml:space="preserve">8.5%</w:t>
      </w:r>
    </w:p>
    <w:p>
      <w:pPr>
        <w:pStyle w:val="BodyText"/>
      </w:pPr>
      <w:r>
        <w:t xml:space="preserve">+19.1%</w:t>
      </w:r>
    </w:p>
    <w:bookmarkEnd w:id="21"/>
    <w:bookmarkStart w:id="22" w:name="Xe05db2080a695df07184b11abb133d487663467"/>
    <w:p>
      <w:pPr>
        <w:pStyle w:val="Heading2"/>
      </w:pPr>
      <w:r>
        <w:t xml:space="preserve">Pharmacist Impact on Sales Performance in Bangkok</w:t>
      </w:r>
    </w:p>
    <w:p>
      <w:pPr>
        <w:pStyle w:val="FirstParagraph"/>
      </w:pPr>
      <w:r>
        <w:t xml:space="preserve">The strategic deployment of licensed Pharmacists at the point-of-sale was a decisive factor in this quarter's success. Pharmacist-led consultations—particularly for OTC categories like analgesics, antihistamines, and digestive aids—resulted in an average basket size increase of 23% compared to non-pharmacist assisted transactions. In high-traffic Bangkok locations such as Siam Square, Ratchawong Road, and Sukhumvit Soi 11, Pharmacist-initiated product recommendations drove a 32% higher conversion rate for wellness categories.</w:t>
      </w:r>
    </w:p>
    <w:p>
      <w:pPr>
        <w:pStyle w:val="BodyText"/>
      </w:pPr>
      <w:r>
        <w:t xml:space="preserve">Notably, the introduction of "Pharmacist Health Check" promotions (free blood pressure/cholesterol screening with purchase) in July generated significant foot traffic. This initiative, managed exclusively by certified Pharmacist staff, contributed to a 39% surge in supplement sales within participating Bangkok outlets. The report confirms that Pharmacists are not merely dispensers but key revenue drivers who build trust and guide purchasing decisions—a critical advantage in Thailand's competitive pharmaceutical retail environment.</w:t>
      </w:r>
    </w:p>
    <w:bookmarkEnd w:id="22"/>
    <w:bookmarkStart w:id="23" w:name="X8c22690534d4f8829bb0cdc70486104e9f17468"/>
    <w:p>
      <w:pPr>
        <w:pStyle w:val="Heading2"/>
      </w:pPr>
      <w:r>
        <w:t xml:space="preserve">Regional Market Analysis: Bangkok Specifics</w:t>
      </w:r>
    </w:p>
    <w:p>
      <w:pPr>
        <w:pStyle w:val="FirstParagraph"/>
      </w:pPr>
      <w:r>
        <w:t xml:space="preserve">Bangkok's unique urban pharmacy ecosystem, with its concentration of 1.8 pharmacies per 10,000 residents (vs. national average of 1.3), demands hyper-localized sales strategies. This Sales Report highlights how Pharmacist teams adapted to Bangkok's diverse consumer segments:</w:t>
      </w:r>
    </w:p>
    <w:p>
      <w:pPr>
        <w:numPr>
          <w:ilvl w:val="0"/>
          <w:numId w:val="1001"/>
        </w:numPr>
        <w:pStyle w:val="Compact"/>
      </w:pPr>
      <w:r>
        <w:rPr>
          <w:bCs/>
          <w:b/>
        </w:rPr>
        <w:t xml:space="preserve">Urban Professionals (Sukhumvit/Phayathai Areas):</w:t>
      </w:r>
      <w:r>
        <w:t xml:space="preserve"> </w:t>
      </w:r>
      <w:r>
        <w:t xml:space="preserve">Increased demand for stress-relief supplements, eye-care products, and portable medical devices (e.g., glucometers). Pharmacist expertise in recommending clinically-backed products drove a 28% sales lift here.</w:t>
      </w:r>
    </w:p>
    <w:p>
      <w:pPr>
        <w:numPr>
          <w:ilvl w:val="0"/>
          <w:numId w:val="1001"/>
        </w:numPr>
        <w:pStyle w:val="Compact"/>
      </w:pPr>
      <w:r>
        <w:rPr>
          <w:bCs/>
          <w:b/>
        </w:rPr>
        <w:t xml:space="preserve">Family-Oriented Zones (Bang Na, Samut Prakan):</w:t>
      </w:r>
      <w:r>
        <w:t xml:space="preserve"> </w:t>
      </w:r>
      <w:r>
        <w:t xml:space="preserve">Strong performance in pediatric OTC medications and household first-aid kits. Pharmacists’ ability to counsel on child dosage safety increased basket size by 19%.</w:t>
      </w:r>
    </w:p>
    <w:p>
      <w:pPr>
        <w:numPr>
          <w:ilvl w:val="0"/>
          <w:numId w:val="1001"/>
        </w:numPr>
        <w:pStyle w:val="Compact"/>
      </w:pPr>
      <w:r>
        <w:rPr>
          <w:bCs/>
          <w:b/>
        </w:rPr>
        <w:t xml:space="preserve">Herbal &amp; Traditional Medicine Integration:</w:t>
      </w:r>
      <w:r>
        <w:t xml:space="preserve"> </w:t>
      </w:r>
      <w:r>
        <w:t xml:space="preserve">Bangkok consumers increasingly seek Pharmacist guidance on combining Western pharmaceuticals with traditional Thai herbal remedies (e.g., Plai, Ginger). Sales of integrated wellness bundles rose 22% after Pharmacists were trained to provide safe usage advice.</w:t>
      </w:r>
    </w:p>
    <w:bookmarkEnd w:id="23"/>
    <w:bookmarkStart w:id="24" w:name="Xe678fe44dc7dbc193bfef94905f26b1f8aa5649"/>
    <w:p>
      <w:pPr>
        <w:pStyle w:val="Heading2"/>
      </w:pPr>
      <w:r>
        <w:t xml:space="preserve">Challenges &amp; Opportunities in Thailand Bangkok</w:t>
      </w:r>
    </w:p>
    <w:p>
      <w:pPr>
        <w:pStyle w:val="FirstParagraph"/>
      </w:pPr>
      <w:r>
        <w:t xml:space="preserve">Despite growth, the report identifies key challenges requiring pharmacist-led solutions:</w:t>
      </w:r>
    </w:p>
    <w:p>
      <w:pPr>
        <w:numPr>
          <w:ilvl w:val="0"/>
          <w:numId w:val="1002"/>
        </w:numPr>
        <w:pStyle w:val="Compact"/>
      </w:pPr>
      <w:r>
        <w:rPr>
          <w:bCs/>
          <w:b/>
        </w:rPr>
        <w:t xml:space="preserve">Regulatory Compliance Pressure:</w:t>
      </w:r>
      <w:r>
        <w:t xml:space="preserve"> </w:t>
      </w:r>
      <w:r>
        <w:t xml:space="preserve">The Thai FDA's new guidelines on OTC drug advertising (effective Q3 2023) required Pharmacist retraining. Early compliance led to a 15% reduction in promotional returns compared to non-compliant competitors.</w:t>
      </w:r>
    </w:p>
    <w:p>
      <w:pPr>
        <w:numPr>
          <w:ilvl w:val="0"/>
          <w:numId w:val="1002"/>
        </w:numPr>
        <w:pStyle w:val="Compact"/>
      </w:pPr>
      <w:r>
        <w:rPr>
          <w:bCs/>
          <w:b/>
        </w:rPr>
        <w:t xml:space="preserve">Counterfeit Product Risks:</w:t>
      </w:r>
      <w:r>
        <w:t xml:space="preserve"> </w:t>
      </w:r>
      <w:r>
        <w:t xml:space="preserve">Bangkok's dense market necessitates Pharmacists' vigilance in authenticating products. A pharmacist-led verification protocol reduced counterfeit incidents by 37% at network pharmacies.</w:t>
      </w:r>
    </w:p>
    <w:p>
      <w:pPr>
        <w:numPr>
          <w:ilvl w:val="0"/>
          <w:numId w:val="1002"/>
        </w:numPr>
        <w:pStyle w:val="Compact"/>
      </w:pPr>
      <w:r>
        <w:rPr>
          <w:bCs/>
          <w:b/>
        </w:rPr>
        <w:t xml:space="preserve">Demand for Digital Integration:</w:t>
      </w:r>
      <w:r>
        <w:t xml:space="preserve"> </w:t>
      </w:r>
      <w:r>
        <w:t xml:space="preserve">68% of Bangkok consumers requested appointment scheduling via apps—Pharmacists now manage digital health records, boosting repeat visits by 25%.</w:t>
      </w:r>
    </w:p>
    <w:bookmarkEnd w:id="24"/>
    <w:bookmarkStart w:id="25" w:name="X40009f711feb97ef7c4f317a1cd3129fdffadfd"/>
    <w:p>
      <w:pPr>
        <w:pStyle w:val="Heading2"/>
      </w:pPr>
      <w:r>
        <w:t xml:space="preserve">Strategic Recommendations from the Sales Report</w:t>
      </w:r>
    </w:p>
    <w:p>
      <w:pPr>
        <w:pStyle w:val="FirstParagraph"/>
      </w:pPr>
      <w:r>
        <w:t xml:space="preserve">Based on Q3 2023 performance, this report recommends:</w:t>
      </w:r>
    </w:p>
    <w:p>
      <w:pPr>
        <w:numPr>
          <w:ilvl w:val="0"/>
          <w:numId w:val="1003"/>
        </w:numPr>
        <w:pStyle w:val="Compact"/>
      </w:pPr>
      <w:r>
        <w:rPr>
          <w:bCs/>
          <w:b/>
        </w:rPr>
        <w:t xml:space="preserve">Expand Pharmacist Training in Digital Health Tools:</w:t>
      </w:r>
      <w:r>
        <w:t xml:space="preserve"> </w:t>
      </w:r>
      <w:r>
        <w:t xml:space="preserve">Invest in AI-powered symptom-checker systems co-managed by Pharmacists to enhance consultation efficiency across Bangkok locations.</w:t>
      </w:r>
    </w:p>
    <w:p>
      <w:pPr>
        <w:numPr>
          <w:ilvl w:val="0"/>
          <w:numId w:val="1003"/>
        </w:numPr>
        <w:pStyle w:val="Compact"/>
      </w:pPr>
      <w:r>
        <w:rPr>
          <w:bCs/>
          <w:b/>
        </w:rPr>
        <w:t xml:space="preserve">Create Neighborhood-Specific Product Bundles:</w:t>
      </w:r>
      <w:r>
        <w:t xml:space="preserve"> </w:t>
      </w:r>
      <w:r>
        <w:t xml:space="preserve">Develop region-tailored wellness kits (e.g., "Sukhumvit Office Wellness" with ergonomic aids and focus supplements) leveraging Pharmacist insights into local needs.</w:t>
      </w:r>
    </w:p>
    <w:p>
      <w:pPr>
        <w:numPr>
          <w:ilvl w:val="0"/>
          <w:numId w:val="1003"/>
        </w:numPr>
        <w:pStyle w:val="Compact"/>
      </w:pPr>
      <w:r>
        <w:rPr>
          <w:bCs/>
          <w:b/>
        </w:rPr>
        <w:t xml:space="preserve">Strengthen Herbal Integration Programs:</w:t>
      </w:r>
      <w:r>
        <w:t xml:space="preserve"> </w:t>
      </w:r>
      <w:r>
        <w:t xml:space="preserve">Partner with Thai traditional medicine associations to train Pharmacists on evidence-based herbal-pharmaceutical interactions, directly addressing a 41% consumer demand spike noted in surveys.</w:t>
      </w:r>
    </w:p>
    <w:bookmarkEnd w:id="25"/>
    <w:bookmarkStart w:id="26" w:name="conclusion"/>
    <w:p>
      <w:pPr>
        <w:pStyle w:val="Heading2"/>
      </w:pPr>
      <w:r>
        <w:t xml:space="preserve">Conclusion</w:t>
      </w:r>
    </w:p>
    <w:p>
      <w:pPr>
        <w:pStyle w:val="FirstParagraph"/>
      </w:pPr>
      <w:r>
        <w:t xml:space="preserve">The Thailand Bangkok Sales Report unequivocally demonstrates that the Pharmacist is the cornerstone of pharmacy success in this market. As healthcare needs evolve—from pandemic recovery to rising chronic conditions—the strategic role of Pharmacists has transitioned beyond dispensing to include clinical advisory, health education, and personalized sales solutions. The 14.7% year-over-year revenue growth in Q3 2023 was not accidental; it was directly enabled by Pharmacist engagement strategies tailored to Bangkok's unique consumer behavior. Moving forward, continued investment in pharmacist-led initiatives will be critical for sustaining growth amid Thailand’s expanding healthcare market and increasingly health-literate consumers.</w:t>
      </w:r>
    </w:p>
    <w:p>
      <w:pPr>
        <w:pStyle w:val="BodyText"/>
      </w:pPr>
      <w:r>
        <w:t xml:space="preserve">*This Sales Report adheres to the guidelines of the Pharmacy Council of Thailand (PCT) and supports national healthcare accessibility goals in Bangkok. All data reflects aggregated performance across 283 licensed pharmacies operating within Bangkok Metropolis boundaries.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Thailand Bangkok Market Performance (Q3 2023)</dc:title>
  <dc:creator/>
  <cp:keywords/>
  <dcterms:created xsi:type="dcterms:W3CDTF">2026-07-21T08:23:43Z</dcterms:created>
  <dcterms:modified xsi:type="dcterms:W3CDTF">2026-07-21T08:23:43Z</dcterms:modified>
</cp:coreProperties>
</file>

<file path=docProps/custom.xml><?xml version="1.0" encoding="utf-8"?>
<Properties xmlns="http://schemas.openxmlformats.org/officeDocument/2006/custom-properties" xmlns:vt="http://schemas.openxmlformats.org/officeDocument/2006/docPropsVTypes"/>
</file>