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Report:</w:t>
      </w:r>
      <w:r>
        <w:t xml:space="preserve"> </w:t>
      </w:r>
      <w:r>
        <w:t xml:space="preserve">Turkey</w:t>
      </w:r>
      <w:r>
        <w:t xml:space="preserve"> </w:t>
      </w:r>
      <w:r>
        <w:t xml:space="preserve">Istanbul</w:t>
      </w:r>
    </w:p>
    <w:bookmarkStart w:id="26" w:name="X5b8a60e7085f3f1ea1132731a3a256a470a3f7a"/>
    <w:p>
      <w:pPr>
        <w:pStyle w:val="Heading1"/>
      </w:pPr>
      <w:r>
        <w:t xml:space="preserve">Comprehensive Pharmacist Sales Report: Turkey Istanbul Q3 2023</w:t>
      </w:r>
    </w:p>
    <w:p>
      <w:pPr>
        <w:pStyle w:val="FirstParagraph"/>
      </w:pPr>
      <w:r>
        <w:t xml:space="preserve">This official Sales Report provides a detailed analysis of pharmaceutical sales performance for the leading pharmacy chain operating within Turkey Istanbul. As a critical healthcare provider serving over 500,000 residents across key districts including Kadıköy, Beşiktaş, and Ümraniye, this document serves as an essential tool for the Pharmacist-in-Charge to optimize inventory management, strategic planning, and compliance with Turkish pharmaceutical regulations. All data reflects operations specific to Turkey Istanbul's unique market dynamics.</w:t>
      </w:r>
    </w:p>
    <w:bookmarkStart w:id="20" w:name="Xedb4f7397a56d794c0203edd14e82550a6745a0"/>
    <w:p>
      <w:pPr>
        <w:pStyle w:val="Heading2"/>
      </w:pPr>
      <w:r>
        <w:t xml:space="preserve">Executive Summary: Pharmacist Performance &amp; Market Context</w:t>
      </w:r>
    </w:p>
    <w:p>
      <w:pPr>
        <w:pStyle w:val="FirstParagraph"/>
      </w:pPr>
      <w:r>
        <w:t xml:space="preserve">The Q3 2023 Sales Report for Pharmacy Network Istanbul demonstrates a robust 14.7% year-on-year sales growth, reaching ₺1.85M in total revenue. This outperformance is directly attributed to the Pharmacist's proactive adaptation to Turkey Istanbul's evolving healthcare needs, particularly in managing chronic conditions prevalent across the city's diverse population. The Pharmacist leveraged localized market insights—such as seasonal flu patterns and increased demand for diabetic supplies during Ramadan—to strategically position inventory, ensuring 98% product availability across core categories. This success underscores the Pharmacist's pivotal role as both a healthcare advisor and business leader within Turkey Istanbul's community-focused pharmacy ecosystem.</w:t>
      </w:r>
    </w:p>
    <w:p>
      <w:pPr>
        <w:pStyle w:val="BodyText"/>
      </w:pPr>
      <w:r>
        <w:rPr>
          <w:bCs/>
          <w:b/>
        </w:rPr>
        <w:t xml:space="preserve">Key Achievement:</w:t>
      </w:r>
      <w:r>
        <w:t xml:space="preserve"> </w:t>
      </w:r>
      <w:r>
        <w:t xml:space="preserve">Achieved 22% growth in prescription medication sales (compared to 8% industry average) through personalized patient follow-ups by the Pharmacist, directly enhancing customer loyalty in Turkey Istanbul's competitive market.</w:t>
      </w:r>
    </w:p>
    <w:bookmarkEnd w:id="20"/>
    <w:bookmarkStart w:id="22" w:name="X0bbe73498a3ab0308cbf055fe80f5423ad3f1d0"/>
    <w:p>
      <w:pPr>
        <w:pStyle w:val="Heading2"/>
      </w:pPr>
      <w:r>
        <w:t xml:space="preserve">Sales Analysis by Category: Turkey Istanbul Demand Patterns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Revenue (₺)</w:t>
            </w:r>
          </w:p>
        </w:tc>
        <w:tc>
          <w:tcPr/>
          <w:p>
            <w:pPr>
              <w:pStyle w:val="Compact"/>
              <w:jc w:val="left"/>
            </w:pPr>
            <w:r>
              <w:t xml:space="preserve">% of Total Sales</w:t>
            </w:r>
          </w:p>
        </w:tc>
        <w:tc>
          <w:tcPr/>
          <w:p>
            <w:pPr>
              <w:pStyle w:val="Compact"/>
              <w:jc w:val="left"/>
            </w:pPr>
            <w:r>
              <w:t xml:space="preserve">YoY Change</w:t>
            </w:r>
          </w:p>
        </w:tc>
      </w:tr>
      <w:tr>
        <w:tc>
          <w:tcPr/>
          <w:p>
            <w:pPr>
              <w:pStyle w:val="Compact"/>
              <w:jc w:val="left"/>
            </w:pPr>
            <w:r>
              <w:t xml:space="preserve">Pain Management &amp; OTC Remedies</w:t>
            </w:r>
          </w:p>
        </w:tc>
        <w:tc>
          <w:tcPr/>
          <w:p>
            <w:pPr>
              <w:pStyle w:val="Compact"/>
              <w:jc w:val="left"/>
            </w:pPr>
            <w:r>
              <w:t xml:space="preserve">485,000</w:t>
            </w:r>
          </w:p>
        </w:tc>
        <w:tc>
          <w:tcPr/>
          <w:p>
            <w:pPr>
              <w:pStyle w:val="Compact"/>
              <w:jc w:val="left"/>
            </w:pPr>
            <w:r>
              <w:t xml:space="preserve">26.2%</w:t>
            </w:r>
          </w:p>
        </w:tc>
        <w:tc>
          <w:tcPr/>
          <w:p>
            <w:pPr>
              <w:pStyle w:val="Compact"/>
              <w:jc w:val="left"/>
            </w:pPr>
            <w:r>
              <w:t xml:space="preserve">+18.3%</w:t>
            </w:r>
          </w:p>
        </w:tc>
      </w:tr>
      <w:tr>
        <w:tc>
          <w:tcPr/>
          <w:p>
            <w:pPr>
              <w:pStyle w:val="Compact"/>
              <w:jc w:val="left"/>
            </w:pPr>
            <w:r>
              <w:t xml:space="preserve">Chronic Disease Medications (Diabetes, Hypertension)</w:t>
            </w:r>
          </w:p>
        </w:tc>
        <w:tc>
          <w:tcPr/>
          <w:p>
            <w:pPr>
              <w:pStyle w:val="Compact"/>
              <w:jc w:val="left"/>
            </w:pPr>
            <w:r>
              <w:t xml:space="preserve">567,500</w:t>
            </w:r>
          </w:p>
        </w:tc>
        <w:tc>
          <w:tcPr/>
          <w:p>
            <w:pPr>
              <w:pStyle w:val="Compact"/>
              <w:jc w:val="left"/>
            </w:pPr>
            <w:r>
              <w:t xml:space="preserve">30.7%</w:t>
            </w:r>
          </w:p>
        </w:tc>
        <w:tc>
          <w:tcPr/>
          <w:p>
            <w:pPr>
              <w:pStyle w:val="Compact"/>
              <w:jc w:val="left"/>
            </w:pPr>
            <w:r>
              <w:t xml:space="preserve">+22.1%</w:t>
            </w:r>
          </w:p>
        </w:tc>
      </w:tr>
      <w:tr>
        <w:tc>
          <w:tcPr/>
          <w:p>
            <w:pPr>
              <w:pStyle w:val="Compact"/>
              <w:jc w:val="left"/>
            </w:pPr>
            <w:r>
              <w:t xml:space="preserve">Pediatric Formulations</w:t>
            </w:r>
          </w:p>
        </w:tc>
        <w:tc>
          <w:tcPr/>
          <w:p>
            <w:pPr>
              <w:pStyle w:val="Compact"/>
              <w:jc w:val="left"/>
            </w:pPr>
            <w:r>
              <w:t xml:space="preserve">198,300</w:t>
            </w:r>
          </w:p>
        </w:tc>
        <w:tc>
          <w:tcPr/>
          <w:p>
            <w:pPr>
              <w:pStyle w:val="Compact"/>
              <w:jc w:val="left"/>
            </w:pPr>
            <w:r>
              <w:t xml:space="preserve">10.7%</w:t>
            </w:r>
          </w:p>
        </w:tc>
        <w:tc>
          <w:tcPr/>
          <w:p>
            <w:pPr>
              <w:pStyle w:val="Compact"/>
              <w:jc w:val="left"/>
            </w:pPr>
            <w:r>
              <w:t xml:space="preserve">+9.5%</w:t>
            </w:r>
          </w:p>
        </w:tc>
      </w:tr>
      <w:tr>
        <w:tc>
          <w:tcPr/>
          <w:p>
            <w:pPr>
              <w:pStyle w:val="Compact"/>
              <w:jc w:val="left"/>
            </w:pPr>
            <w:r>
              <w:t xml:space="preserve">Premium Skincare &amp; Cosmeceuticals</w:t>
            </w:r>
          </w:p>
        </w:tc>
        <w:tc>
          <w:tcPr/>
          <w:p>
            <w:pPr>
              <w:pStyle w:val="Compact"/>
              <w:jc w:val="left"/>
            </w:pPr>
            <w:r>
              <w:t xml:space="preserve">256,200</w:t>
            </w:r>
          </w:p>
        </w:tc>
        <w:tc>
          <w:tcPr/>
          <w:p>
            <w:pPr>
              <w:pStyle w:val="Compact"/>
              <w:jc w:val="left"/>
            </w:pPr>
            <w:r>
              <w:t xml:space="preserve">13.8%</w:t>
            </w:r>
          </w:p>
        </w:tc>
        <w:tc>
          <w:tcPr/>
          <w:p>
            <w:pPr>
              <w:pStyle w:val="Compact"/>
              <w:jc w:val="left"/>
            </w:pPr>
            <w:r>
              <w:t xml:space="preserve">+34.6%</w:t>
            </w:r>
          </w:p>
        </w:tc>
      </w:tr>
      <w:tr>
        <w:tc>
          <w:tcPr/>
          <w:p>
            <w:pPr>
              <w:pStyle w:val="Compact"/>
              <w:jc w:val="left"/>
            </w:pPr>
            <w:r>
              <w:t xml:space="preserve">Vitamins &amp; Supplements</w:t>
            </w:r>
          </w:p>
        </w:tc>
        <w:tc>
          <w:tcPr/>
          <w:p>
            <w:pPr>
              <w:pStyle w:val="Compact"/>
              <w:jc w:val="left"/>
            </w:pPr>
            <w:r>
              <w:t xml:space="preserve">291,700</w:t>
            </w:r>
          </w:p>
        </w:tc>
        <w:tc>
          <w:tcPr/>
          <w:p>
            <w:pPr>
              <w:pStyle w:val="Compact"/>
              <w:jc w:val="left"/>
            </w:pPr>
            <w:r>
              <w:t xml:space="preserve">15.8%</w:t>
            </w:r>
          </w:p>
        </w:tc>
        <w:tc>
          <w:tcPr/>
          <w:p>
            <w:pPr>
              <w:pStyle w:val="Compact"/>
              <w:jc w:val="left"/>
            </w:pPr>
            <w:r>
              <w:t xml:space="preserve">+12.4%</w:t>
            </w:r>
          </w:p>
        </w:tc>
      </w:tr>
    </w:tbl>
    <w:bookmarkStart w:id="21" w:name="Xe1906698c1bc4b38110c954393ca478f2abe141"/>
    <w:p>
      <w:pPr>
        <w:pStyle w:val="Heading3"/>
      </w:pPr>
      <w:r>
        <w:t xml:space="preserve">Premium Skincare Surge: Pharmacist-Driven Strategy in Istanbul</w:t>
      </w:r>
    </w:p>
    <w:p>
      <w:pPr>
        <w:pStyle w:val="FirstParagraph"/>
      </w:pPr>
      <w:r>
        <w:t xml:space="preserve">The most notable trend observed in this Sales Report is the 34.6% YoY increase in Premium Skincare &amp; Cosmeceuticals sales within Turkey Istanbul. This growth directly resulted from the Pharmacist's targeted initiative to collaborate with local Turkish beauty brands (e.g., Siviglia, Viala) and host free dermatology consultations in-store. The Pharmacist recognized the rising demand for natural skincare solutions among Istanbul's urban population, particularly in high-income districts like Nişantaşı and Ortaköy, transforming the pharmacy from a transactional point to a community wellness hub. This strategy not only boosted sales but also strengthened compliance with Turkey's recent Eczane Kanunu (Pharmacy Law) amendments promoting pharmaceutical education.</w:t>
      </w:r>
    </w:p>
    <w:bookmarkEnd w:id="21"/>
    <w:bookmarkEnd w:id="22"/>
    <w:bookmarkStart w:id="23" w:name="Xdf25728e2c9d162d53d5d81fc951e15f7573001"/>
    <w:p>
      <w:pPr>
        <w:pStyle w:val="Heading2"/>
      </w:pPr>
      <w:r>
        <w:t xml:space="preserve">Regional Sales Performance Across Istanbul</w:t>
      </w:r>
    </w:p>
    <w:p>
      <w:pPr>
        <w:pStyle w:val="FirstParagraph"/>
      </w:pPr>
      <w:r>
        <w:t xml:space="preserve">This Sales Report highlights significant geographic variation within Turkey Istanbul:</w:t>
      </w:r>
    </w:p>
    <w:p>
      <w:pPr>
        <w:numPr>
          <w:ilvl w:val="0"/>
          <w:numId w:val="1001"/>
        </w:numPr>
        <w:pStyle w:val="Compact"/>
      </w:pPr>
      <w:r>
        <w:rPr>
          <w:bCs/>
          <w:b/>
        </w:rPr>
        <w:t xml:space="preserve">Kadıköy (Asian Side):</w:t>
      </w:r>
      <w:r>
        <w:t xml:space="preserve"> </w:t>
      </w:r>
      <w:r>
        <w:t xml:space="preserve">Highest growth in herbal supplements (+41%) driven by the district's wellness-focused demographic. The Pharmacist implemented a "Herbal Medicine Consultation Hour" twice weekly, significantly increasing foot traffic.</w:t>
      </w:r>
    </w:p>
    <w:p>
      <w:pPr>
        <w:numPr>
          <w:ilvl w:val="0"/>
          <w:numId w:val="1001"/>
        </w:numPr>
        <w:pStyle w:val="Compact"/>
      </w:pPr>
      <w:r>
        <w:rPr>
          <w:bCs/>
          <w:b/>
        </w:rPr>
        <w:t xml:space="preserve">Beşiktaş &amp; Taksim:</w:t>
      </w:r>
      <w:r>
        <w:t xml:space="preserve"> </w:t>
      </w:r>
      <w:r>
        <w:t xml:space="preserve">Dominated prescription medication sales (52% of total), reflecting the area's high concentration of elderly residents and tourist influx requiring travel health kits. The Pharmacist streamlined the Turkish e-prescription system integration, reducing wait times by 35%.</w:t>
      </w:r>
    </w:p>
    <w:p>
      <w:pPr>
        <w:numPr>
          <w:ilvl w:val="0"/>
          <w:numId w:val="1001"/>
        </w:numPr>
        <w:pStyle w:val="Compact"/>
      </w:pPr>
      <w:r>
        <w:rPr>
          <w:bCs/>
          <w:b/>
        </w:rPr>
        <w:t xml:space="preserve">Ümraniye &amp; Pendik:</w:t>
      </w:r>
      <w:r>
        <w:t xml:space="preserve"> </w:t>
      </w:r>
      <w:r>
        <w:t xml:space="preserve">Strongest performance in pediatric categories (+28%), necessitating a dedicated children's wellness corner designed by the Pharmacist to address parents' concerns about safety and dosage accuracy.</w:t>
      </w:r>
    </w:p>
    <w:p>
      <w:pPr>
        <w:pStyle w:val="FirstParagraph"/>
      </w:pPr>
      <w:r>
        <w:rPr>
          <w:bCs/>
          <w:b/>
        </w:rPr>
        <w:t xml:space="preserve">Pharmacist Initiative Spotlight:</w:t>
      </w:r>
      <w:r>
        <w:t xml:space="preserve"> </w:t>
      </w:r>
      <w:r>
        <w:t xml:space="preserve">The Istanbul-based Pharmacist launched a "Medication Adherence Program" for hypertension patients, resulting in a 27% reduction in missed refills and generating ₺82,000 in repeat prescription revenue within three months. This initiative directly addresses the Ministry of Health's national target to improve chronic disease management across Turkey.</w:t>
      </w:r>
    </w:p>
    <w:bookmarkEnd w:id="23"/>
    <w:bookmarkStart w:id="24" w:name="X0310726b1c5cefb7061a2d9862a6acbd91e4956"/>
    <w:p>
      <w:pPr>
        <w:pStyle w:val="Heading2"/>
      </w:pPr>
      <w:r>
        <w:t xml:space="preserve">Challenges &amp; Strategic Solutions: Adapting to Turkey Istanbul's Market</w:t>
      </w:r>
    </w:p>
    <w:p>
      <w:pPr>
        <w:pStyle w:val="FirstParagraph"/>
      </w:pPr>
      <w:r>
        <w:t xml:space="preserve">The Sales Report identifies key challenges specific to operating as a Pharmacist in Turkey Istanbul:</w:t>
      </w:r>
    </w:p>
    <w:p>
      <w:pPr>
        <w:numPr>
          <w:ilvl w:val="0"/>
          <w:numId w:val="1002"/>
        </w:numPr>
        <w:pStyle w:val="Compact"/>
      </w:pPr>
      <w:r>
        <w:rPr>
          <w:bCs/>
          <w:b/>
        </w:rPr>
        <w:t xml:space="preserve">Regulatory Complexity:</w:t>
      </w:r>
      <w:r>
        <w:t xml:space="preserve"> </w:t>
      </w:r>
      <w:r>
        <w:t xml:space="preserve">Navigating the recent 2023 Drug Pricing Regulations required the Pharmacist to retrain staff and implement new inventory tracking. Solution: The Pharmacist partnered with Eczacılar Odası (Pharmacists' Union) for compliance workshops, avoiding regulatory penalties.</w:t>
      </w:r>
    </w:p>
    <w:p>
      <w:pPr>
        <w:numPr>
          <w:ilvl w:val="0"/>
          <w:numId w:val="1002"/>
        </w:numPr>
        <w:pStyle w:val="Compact"/>
      </w:pPr>
      <w:r>
        <w:rPr>
          <w:bCs/>
          <w:b/>
        </w:rPr>
        <w:t xml:space="preserve">Supply Chain Disruptions:</w:t>
      </w:r>
      <w:r>
        <w:t xml:space="preserve"> </w:t>
      </w:r>
      <w:r>
        <w:t xml:space="preserve">Global shortages impacted essential asthma inhalers. Solution: The Pharmacist secured alternative Turkish-sourced brands (e.g., AstraZeneca Turkey), ensuring uninterrupted supply and maintaining 99% product coverage.</w:t>
      </w:r>
    </w:p>
    <w:p>
      <w:pPr>
        <w:numPr>
          <w:ilvl w:val="0"/>
          <w:numId w:val="1002"/>
        </w:numPr>
        <w:pStyle w:val="Compact"/>
      </w:pPr>
      <w:r>
        <w:rPr>
          <w:bCs/>
          <w:b/>
        </w:rPr>
        <w:t xml:space="preserve">Tourist Season Demand Spikes:</w:t>
      </w:r>
      <w:r>
        <w:t xml:space="preserve"> </w:t>
      </w:r>
      <w:r>
        <w:t xml:space="preserve">Summer influx strained OTC inventory. Solution: The Pharmacist developed a dynamic forecasting model using historical tourism data, preventing stockouts by 83% during peak season.</w:t>
      </w:r>
    </w:p>
    <w:bookmarkEnd w:id="24"/>
    <w:bookmarkStart w:id="25" w:name="Xf4147f9af8ce23008b3f109fed65f0905ea97c0"/>
    <w:p>
      <w:pPr>
        <w:pStyle w:val="Heading2"/>
      </w:pPr>
      <w:r>
        <w:t xml:space="preserve">Future Outlook &amp; Pharmacist Development Plan</w:t>
      </w:r>
    </w:p>
    <w:p>
      <w:pPr>
        <w:pStyle w:val="FirstParagraph"/>
      </w:pPr>
      <w:r>
        <w:t xml:space="preserve">Based on this Sales Report, the Pharmacy Network Istanbul will prioritize three key areas for the Pharmacist in Q4 2023:</w:t>
      </w:r>
    </w:p>
    <w:p>
      <w:pPr>
        <w:numPr>
          <w:ilvl w:val="0"/>
          <w:numId w:val="1003"/>
        </w:numPr>
        <w:pStyle w:val="Compact"/>
      </w:pPr>
      <w:r>
        <w:rPr>
          <w:bCs/>
          <w:b/>
        </w:rPr>
        <w:t xml:space="preserve">Telepharmacy Expansion:</w:t>
      </w:r>
      <w:r>
        <w:t xml:space="preserve"> </w:t>
      </w:r>
      <w:r>
        <w:t xml:space="preserve">Launching virtual consultations (compliant with Turkey's 2021 Telemedicine Law) to serve remote neighborhoods in Istanbul, directly addressing the Pharmacist's role as a healthcare accessibility advocate.</w:t>
      </w:r>
    </w:p>
    <w:p>
      <w:pPr>
        <w:numPr>
          <w:ilvl w:val="0"/>
          <w:numId w:val="1003"/>
        </w:numPr>
        <w:pStyle w:val="Compact"/>
      </w:pPr>
      <w:r>
        <w:rPr>
          <w:bCs/>
          <w:b/>
        </w:rPr>
        <w:t xml:space="preserve">Sustainability Initiative:</w:t>
      </w:r>
      <w:r>
        <w:t xml:space="preserve"> </w:t>
      </w:r>
      <w:r>
        <w:t xml:space="preserve">Implementing eco-friendly packaging for OTC products, aligning with Istanbul's new environmental regulations and resonating with the city's growing green consumer segment.</w:t>
      </w:r>
    </w:p>
    <w:p>
      <w:pPr>
        <w:numPr>
          <w:ilvl w:val="0"/>
          <w:numId w:val="1003"/>
        </w:numPr>
        <w:pStyle w:val="Compact"/>
      </w:pPr>
      <w:r>
        <w:rPr>
          <w:bCs/>
          <w:b/>
        </w:rPr>
        <w:t xml:space="preserve">Certification Development:</w:t>
      </w:r>
      <w:r>
        <w:t xml:space="preserve"> </w:t>
      </w:r>
      <w:r>
        <w:t xml:space="preserve">The Pharmacist will pursue advanced certification in Chronic Disease Management through Anadolu University, directly enhancing service quality for Turkey Istanbul's aging population.</w:t>
      </w:r>
    </w:p>
    <w:p>
      <w:pPr>
        <w:pStyle w:val="FirstParagraph"/>
      </w:pPr>
      <w:r>
        <w:t xml:space="preserve">This comprehensive Sales Report underscores that the Pharmacist is no longer merely a product dispenser but the strategic heart of a healthcare business. In the competitive landscape of Turkey Istanbul, where patient trust and regulatory compliance are paramount, this report demonstrates how proactive Pharmacist leadership directly translates to sustainable revenue growth and community health impact. As evidenced by our Q3 results, investing in the Pharmacist's professional development is not just good practice—it's the cornerstone of thriving pharmaceutical operations within Turkey Istanbul.</w:t>
      </w:r>
    </w:p>
    <w:p>
      <w:pPr>
        <w:pStyle w:val="BodyText"/>
      </w:pPr>
      <w:r>
        <w:rPr>
          <w:bCs/>
          <w:b/>
        </w:rPr>
        <w:t xml:space="preserve">Prepared By:</w:t>
      </w:r>
      <w:r>
        <w:t xml:space="preserve"> </w:t>
      </w:r>
      <w:r>
        <w:t xml:space="preserve">Eczacı Başkent - Pharmacist-in-Charge</w:t>
      </w:r>
      <w:r>
        <w:br/>
      </w:r>
      <w:r>
        <w:rPr>
          <w:bCs/>
          <w:b/>
        </w:rPr>
        <w:t xml:space="preserve">Date:</w:t>
      </w:r>
      <w:r>
        <w:t xml:space="preserve"> </w:t>
      </w:r>
      <w:r>
        <w:t xml:space="preserve">October 26, 2023</w:t>
      </w:r>
      <w:r>
        <w:br/>
      </w:r>
      <w:r>
        <w:rPr>
          <w:bCs/>
          <w:b/>
        </w:rPr>
        <w:t xml:space="preserve">Pharmacy Location:</w:t>
      </w:r>
      <w:r>
        <w:t xml:space="preserve"> </w:t>
      </w:r>
      <w:r>
        <w:t xml:space="preserve">Kadıköy, Istanbul (Address: Sarnıç Cad. No:45)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Report: Turkey Istanbul</dc:title>
  <dc:creator/>
  <dc:language>en</dc:language>
  <cp:keywords/>
  <dcterms:created xsi:type="dcterms:W3CDTF">2026-07-21T16:29:25Z</dcterms:created>
  <dcterms:modified xsi:type="dcterms:W3CDTF">2026-07-21T16:29:25Z</dcterms:modified>
</cp:coreProperties>
</file>

<file path=docProps/custom.xml><?xml version="1.0" encoding="utf-8"?>
<Properties xmlns="http://schemas.openxmlformats.org/officeDocument/2006/custom-properties" xmlns:vt="http://schemas.openxmlformats.org/officeDocument/2006/docPropsVTypes"/>
</file>