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be6c249e850735f604ed4bfdedb9096e1556e87"/>
    <w:p>
      <w:pPr>
        <w:pStyle w:val="Heading1"/>
      </w:pPr>
      <w:r>
        <w:t xml:space="preserve">Birmingham Pharmacist Sales Performance Report: Q3 2023</w:t>
      </w:r>
    </w:p>
    <w:bookmarkStart w:id="20" w:name="executive-summary"/>
    <w:p>
      <w:pPr>
        <w:pStyle w:val="Heading2"/>
      </w:pPr>
      <w:r>
        <w:t xml:space="preserve">Executive Summary</w:t>
      </w:r>
    </w:p>
    <w:p>
      <w:pPr>
        <w:pStyle w:val="FirstParagraph"/>
      </w:pPr>
      <w:r>
        <w:t xml:space="preserve">This report details the sales performance of pharmacy services across key locations in Birmingham, United Kingdom, for the third quarter of 2023. It highlights the critical role of pharmacists in driving both clinical outcomes and commercial success within NHS community pharmacy frameworks. The data underscores how pharmacist-led interventions directly contribute to increased prescription volumes, enhanced patient adherence, and strategic growth in over-the-counter (OTC) healthcare product sales across diverse Birmingham communities.</w:t>
      </w:r>
    </w:p>
    <w:bookmarkEnd w:id="20"/>
    <w:bookmarkStart w:id="21" w:name="Xd549fdec02b7167ecf1e1c38a7650b9c1369537"/>
    <w:p>
      <w:pPr>
        <w:pStyle w:val="Heading2"/>
      </w:pPr>
      <w:r>
        <w:t xml:space="preserve">Regional Context: Birmingham's Pharmacy Landscape</w:t>
      </w:r>
    </w:p>
    <w:p>
      <w:pPr>
        <w:pStyle w:val="FirstParagraph"/>
      </w:pPr>
      <w:r>
        <w:t xml:space="preserve">Birmingham, the second-largest city in the United Kingdom and a vibrant multicultural hub with over 1.1 million residents, presents unique opportunities and challenges for pharmacy services. The city's diverse demographics—spanning areas like Sparkbrook, Handsworth, Edgbaston, and Selly Oak—demand tailored healthcare approaches. As primary healthcare providers under the NHS Pharmacy Contract framework, pharmacists in Birmingham are pivotal in managing long-term conditions (e.g., diabetes, hypertension), providing vaccination services (including flu and Covid-19 booster campaigns), and delivering essential OTC advice. This report focuses on performance metrics from 12 strategically located pharmacies within the West Midlands region, serving populations with varying socio-economic profiles.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 Change vs Q2 2023</w:t>
      </w:r>
    </w:p>
    <w:p>
      <w:pPr>
        <w:pStyle w:val="BodyText"/>
      </w:pPr>
      <w:r>
        <w:t xml:space="preserve">Total Pharmacy Sales (Excluding NHS Prescriptions)</w:t>
      </w:r>
    </w:p>
    <w:p>
      <w:pPr>
        <w:pStyle w:val="BodyText"/>
      </w:pPr>
      <w:r>
        <w:t xml:space="preserve">£148,500</w:t>
      </w:r>
    </w:p>
    <w:p>
      <w:pPr>
        <w:pStyle w:val="BodyText"/>
      </w:pPr>
      <w:r>
        <w:t xml:space="preserve">+7.2%</w:t>
      </w:r>
    </w:p>
    <w:p>
      <w:pPr>
        <w:pStyle w:val="BodyText"/>
      </w:pPr>
      <w:r>
        <w:t xml:space="preserve">NHS Prescription Dispensing Volume</w:t>
      </w:r>
    </w:p>
    <w:p>
      <w:pPr>
        <w:pStyle w:val="BodyText"/>
      </w:pPr>
      <w:r>
        <w:t xml:space="preserve">32,850 items</w:t>
      </w:r>
    </w:p>
    <w:p>
      <w:pPr>
        <w:pStyle w:val="BodyText"/>
      </w:pPr>
      <w:r>
        <w:t xml:space="preserve">+4.1%</w:t>
      </w:r>
    </w:p>
    <w:p>
      <w:pPr>
        <w:pStyle w:val="BodyText"/>
      </w:pPr>
      <w:r>
        <w:t xml:space="preserve">OTC Product Sales (Health &amp; Wellbeing)</w:t>
      </w:r>
    </w:p>
    <w:p>
      <w:pPr>
        <w:pStyle w:val="BodyText"/>
      </w:pPr>
      <w:r>
        <w:t xml:space="preserve">£72,300</w:t>
      </w:r>
    </w:p>
    <w:p>
      <w:pPr>
        <w:pStyle w:val="BodyText"/>
      </w:pPr>
      <w:r>
        <w:t xml:space="preserve">+9.8%</w:t>
      </w:r>
    </w:p>
    <w:p>
      <w:pPr>
        <w:pStyle w:val="BodyText"/>
      </w:pPr>
      <w:r>
        <w:t xml:space="preserve">Pharmacist-Led Consultation Revenue</w:t>
      </w:r>
    </w:p>
    <w:p>
      <w:pPr>
        <w:pStyle w:val="BodyText"/>
      </w:pPr>
      <w:r>
        <w:t xml:space="preserve">£18,450+12.6%</w:t>
      </w:r>
    </w:p>
    <w:p>
      <w:pPr>
        <w:pStyle w:val="BodyText"/>
      </w:pPr>
      <w:r>
        <w:t xml:space="preserve">&lt;</w:t>
      </w:r>
    </w:p>
    <w:p>
      <w:pPr>
        <w:pStyle w:val="BodyText"/>
      </w:pPr>
      <w:r>
        <w:t xml:space="preserve">Patient Medication Adherence Program Uptake</w:t>
      </w:r>
    </w:p>
    <w:p>
      <w:pPr>
        <w:pStyle w:val="BodyText"/>
      </w:pPr>
      <w:r>
        <w:t xml:space="preserve">&lt;</w:t>
      </w:r>
    </w:p>
    <w:p>
      <w:pPr>
        <w:pStyle w:val="BodyText"/>
      </w:pPr>
      <w:r>
        <w:t xml:space="preserve">78% of eligible patients</w:t>
      </w:r>
    </w:p>
    <w:p>
      <w:pPr>
        <w:pStyle w:val="BodyText"/>
      </w:pPr>
      <w:r>
        <w:t xml:space="preserve">+15.3% YoY</w:t>
      </w:r>
    </w:p>
    <w:bookmarkEnd w:id="22"/>
    <w:bookmarkStart w:id="23" w:name="X910a6789c7db6693301a457200e4897157165c4"/>
    <w:p>
      <w:pPr>
        <w:pStyle w:val="Heading2"/>
      </w:pPr>
      <w:r>
        <w:t xml:space="preserve">Pharmacist-Driven Growth: The Birmingham Advantage</w:t>
      </w:r>
    </w:p>
    <w:p>
      <w:pPr>
        <w:pStyle w:val="FirstParagraph"/>
      </w:pPr>
      <w:r>
        <w:t xml:space="preserve">The most significant growth area was directly attributable to proactive pharmacist engagement:</w:t>
      </w:r>
    </w:p>
    <w:p>
      <w:pPr>
        <w:numPr>
          <w:ilvl w:val="0"/>
          <w:numId w:val="1001"/>
        </w:numPr>
        <w:pStyle w:val="Compact"/>
      </w:pPr>
      <w:r>
        <w:rPr>
          <w:bCs/>
          <w:b/>
        </w:rPr>
        <w:t xml:space="preserve">NHS Long-Term Condition Management:</w:t>
      </w:r>
      <w:r>
        <w:t xml:space="preserve"> </w:t>
      </w:r>
      <w:r>
        <w:t xml:space="preserve">Pharmacists initiated 1,840 structured medication reviews for patients with diabetes and cardiovascular conditions across Birmingham branches. This led to a 22% increase in repeat prescription adherence and £35,000 in additional revenue from recommended OTC monitoring supplies (e.g., glucose test strips, blood pressure monitors).</w:t>
      </w:r>
    </w:p>
    <w:p>
      <w:pPr>
        <w:numPr>
          <w:ilvl w:val="0"/>
          <w:numId w:val="1001"/>
        </w:numPr>
        <w:pStyle w:val="Compact"/>
      </w:pPr>
      <w:r>
        <w:rPr>
          <w:bCs/>
          <w:b/>
        </w:rPr>
        <w:t xml:space="preserve">Vaccination Services Expansion:</w:t>
      </w:r>
      <w:r>
        <w:t xml:space="preserve"> </w:t>
      </w:r>
      <w:r>
        <w:t xml:space="preserve">With support from the West Midlands NHS Commissioning Board, pharmacists conducted 1,425 flu vaccinations in Birmingham during Q3. This not only improved public health outcomes but also generated £8,600 in revenue through vaccine administration fees and associated OTC product sales (e.g., pain relief, aftercare creams).</w:t>
      </w:r>
    </w:p>
    <w:p>
      <w:pPr>
        <w:numPr>
          <w:ilvl w:val="0"/>
          <w:numId w:val="1001"/>
        </w:numPr>
        <w:pStyle w:val="Compact"/>
      </w:pPr>
      <w:r>
        <w:rPr>
          <w:bCs/>
          <w:b/>
        </w:rPr>
        <w:t xml:space="preserve">OTC Advisory Sales Growth:</w:t>
      </w:r>
      <w:r>
        <w:t xml:space="preserve"> </w:t>
      </w:r>
      <w:r>
        <w:t xml:space="preserve">Pharmacists’ clinical advice drove a 9.8% uplift in OTC sales. Specific growth was seen in respiratory care (15% increase), women’s health products (+18%), and digital health tools (e.g., smart inhalers, medication reminder apps). This reflects Birmingham pharmacists' deep understanding of local community health needs.</w:t>
      </w:r>
    </w:p>
    <w:bookmarkEnd w:id="23"/>
    <w:bookmarkStart w:id="24" w:name="product-category-performance-analysis"/>
    <w:p>
      <w:pPr>
        <w:pStyle w:val="Heading2"/>
      </w:pPr>
      <w:r>
        <w:t xml:space="preserve">Product Category Performance Analysis</w:t>
      </w:r>
    </w:p>
    <w:p>
      <w:pPr>
        <w:pStyle w:val="FirstParagraph"/>
      </w:pPr>
      <w:r>
        <w:t xml:space="preserve">Birmingham pharmacists demonstrated strategic product mix management:</w:t>
      </w:r>
    </w:p>
    <w:p>
      <w:pPr>
        <w:numPr>
          <w:ilvl w:val="0"/>
          <w:numId w:val="1002"/>
        </w:numPr>
        <w:pStyle w:val="Compact"/>
      </w:pPr>
      <w:r>
        <w:rPr>
          <w:bCs/>
          <w:b/>
        </w:rPr>
        <w:t xml:space="preserve">NHS Prescription Revenue:</w:t>
      </w:r>
      <w:r>
        <w:t xml:space="preserve"> </w:t>
      </w:r>
      <w:r>
        <w:t xml:space="preserve">£85,600 (57.6% of total pharmacy revenue), reflecting stable demand for essential medications under NHS funding. Pharmacists focused on minimizing repeat prescription delays through efficient workflow management.</w:t>
      </w:r>
    </w:p>
    <w:p>
      <w:pPr>
        <w:numPr>
          <w:ilvl w:val="0"/>
          <w:numId w:val="1002"/>
        </w:numPr>
        <w:pStyle w:val="Compact"/>
      </w:pPr>
      <w:r>
        <w:rPr>
          <w:bCs/>
          <w:b/>
        </w:rPr>
        <w:t xml:space="preserve">OTC &amp; Wellness Products:</w:t>
      </w:r>
      <w:r>
        <w:t xml:space="preserve"> </w:t>
      </w:r>
      <w:r>
        <w:t xml:space="preserve">£72,300 (48.7% of non-NHS revenue). Growth was fueled by pharmacist recommendations—e.g., promoting vitamin D supplements during winter months and targeted skin care for Birmingham's varied climate conditions.</w:t>
      </w:r>
    </w:p>
    <w:p>
      <w:pPr>
        <w:numPr>
          <w:ilvl w:val="0"/>
          <w:numId w:val="1002"/>
        </w:numPr>
        <w:pStyle w:val="Compact"/>
      </w:pPr>
      <w:r>
        <w:rPr>
          <w:bCs/>
          <w:b/>
        </w:rPr>
        <w:t xml:space="preserve">Clinical Service Revenue:</w:t>
      </w:r>
      <w:r>
        <w:t xml:space="preserve"> </w:t>
      </w:r>
      <w:r>
        <w:t xml:space="preserve">£18,450 (23.9% of total service income), primarily from medication reviews, smoking cessation support (£6,200), and minor ailment consultations (£12,250). These services are increasingly recognised as vital NHS cost-saving interventions.</w:t>
      </w:r>
    </w:p>
    <w:bookmarkEnd w:id="24"/>
    <w:bookmarkStart w:id="25" w:name="X04f597f9c46b7afd2cb1694a66e56ff6572ba14"/>
    <w:p>
      <w:pPr>
        <w:pStyle w:val="Heading2"/>
      </w:pPr>
      <w:r>
        <w:t xml:space="preserve">Key Challenges in the United Kingdom Birmingham Market</w:t>
      </w:r>
    </w:p>
    <w:p>
      <w:pPr>
        <w:pStyle w:val="FirstParagraph"/>
      </w:pPr>
      <w:r>
        <w:t xml:space="preserve">The report identifies persistent challenges requiring pharmacist-led solutions:</w:t>
      </w:r>
    </w:p>
    <w:p>
      <w:pPr>
        <w:numPr>
          <w:ilvl w:val="0"/>
          <w:numId w:val="1003"/>
        </w:numPr>
        <w:pStyle w:val="Compact"/>
      </w:pPr>
      <w:r>
        <w:rPr>
          <w:bCs/>
          <w:b/>
        </w:rPr>
        <w:t xml:space="preserve">Workforce Shortages:</w:t>
      </w:r>
      <w:r>
        <w:t xml:space="preserve"> </w:t>
      </w:r>
      <w:r>
        <w:t xml:space="preserve">65% of surveyed Birmingham pharmacies reported difficulty recruiting pharmacy technicians, impacting service capacity. Pharmacists managed this by optimising consultation times and leveraging digital tools for patient record management.</w:t>
      </w:r>
    </w:p>
    <w:p>
      <w:pPr>
        <w:numPr>
          <w:ilvl w:val="0"/>
          <w:numId w:val="1003"/>
        </w:numPr>
        <w:pStyle w:val="Compact"/>
      </w:pPr>
      <w:r>
        <w:rPr>
          <w:bCs/>
          <w:b/>
        </w:rPr>
        <w:t xml:space="preserve">NHS Funding Pressures:</w:t>
      </w:r>
      <w:r>
        <w:t xml:space="preserve"> </w:t>
      </w:r>
      <w:r>
        <w:t xml:space="preserve">While NHS dispensing fees remained stable, rising operational costs (rent, utilities) pressured margins. Pharmacists countered this through strategic OTC cross-selling based on patient consultations.</w:t>
      </w:r>
    </w:p>
    <w:p>
      <w:pPr>
        <w:numPr>
          <w:ilvl w:val="0"/>
          <w:numId w:val="1003"/>
        </w:numPr>
        <w:pStyle w:val="Compact"/>
      </w:pPr>
      <w:r>
        <w:rPr>
          <w:bCs/>
          <w:b/>
        </w:rPr>
        <w:t xml:space="preserve">Diverse Community Needs:</w:t>
      </w:r>
      <w:r>
        <w:t xml:space="preserve"> </w:t>
      </w:r>
      <w:r>
        <w:t xml:space="preserve">Birmingham’s ethnic diversity necessitates culturally competent advice. Pharmacists invested in multilingual health resources and targeted community engagement events to build trust and drive service uptake.</w:t>
      </w:r>
    </w:p>
    <w:bookmarkEnd w:id="25"/>
    <w:bookmarkStart w:id="26" w:name="X0ece0ff31a325bfaaacd85488dd260f8c28bdf8"/>
    <w:p>
      <w:pPr>
        <w:pStyle w:val="Heading2"/>
      </w:pPr>
      <w:r>
        <w:t xml:space="preserve">Strategic Recommendations for Birmingham Pharmacist Success</w:t>
      </w:r>
    </w:p>
    <w:p>
      <w:pPr>
        <w:pStyle w:val="FirstParagraph"/>
      </w:pPr>
      <w:r>
        <w:t xml:space="preserve">To sustain growth, this report recommends:</w:t>
      </w:r>
    </w:p>
    <w:p>
      <w:pPr>
        <w:numPr>
          <w:ilvl w:val="0"/>
          <w:numId w:val="1004"/>
        </w:numPr>
        <w:pStyle w:val="Compact"/>
      </w:pPr>
      <w:r>
        <w:rPr>
          <w:bCs/>
          <w:b/>
        </w:rPr>
        <w:t xml:space="preserve">Expand Clinical Service Offerings:</w:t>
      </w:r>
      <w:r>
        <w:t xml:space="preserve"> </w:t>
      </w:r>
      <w:r>
        <w:t xml:space="preserve">Develop dedicated NHS-funded pathways for mental health support and chronic disease management, leveraging pharmacists' clinical skills to meet Birmingham’s specific health priorities.</w:t>
      </w:r>
    </w:p>
    <w:p>
      <w:pPr>
        <w:numPr>
          <w:ilvl w:val="0"/>
          <w:numId w:val="1004"/>
        </w:numPr>
        <w:pStyle w:val="Compact"/>
      </w:pPr>
      <w:r>
        <w:rPr>
          <w:bCs/>
          <w:b/>
        </w:rPr>
        <w:t xml:space="preserve">Invest in Digital Patient Tools:</w:t>
      </w:r>
      <w:r>
        <w:t xml:space="preserve"> </w:t>
      </w:r>
      <w:r>
        <w:t xml:space="preserve">Implement localised mobile apps for appointment booking, medication reminders, and symptom checkers tailored to Birmingham residents' languages and needs (e.g., Urdu, Polish).</w:t>
      </w:r>
    </w:p>
    <w:p>
      <w:pPr>
        <w:numPr>
          <w:ilvl w:val="0"/>
          <w:numId w:val="1004"/>
        </w:numPr>
        <w:pStyle w:val="Compact"/>
      </w:pPr>
      <w:r>
        <w:rPr>
          <w:bCs/>
          <w:b/>
        </w:rPr>
        <w:t xml:space="preserve">Strengthen NHS Partnership:</w:t>
      </w:r>
      <w:r>
        <w:t xml:space="preserve"> </w:t>
      </w:r>
      <w:r>
        <w:t xml:space="preserve">Collaborate with Birmingham City Council and local GP practices on integrated health hubs to position pharmacists as essential primary care partners.</w:t>
      </w:r>
    </w:p>
    <w:bookmarkEnd w:id="26"/>
    <w:bookmarkStart w:id="27" w:name="conclusion"/>
    <w:p>
      <w:pPr>
        <w:pStyle w:val="Heading2"/>
      </w:pPr>
      <w:r>
        <w:t xml:space="preserve">Conclusion</w:t>
      </w:r>
    </w:p>
    <w:p>
      <w:pPr>
        <w:pStyle w:val="FirstParagraph"/>
      </w:pPr>
      <w:r>
        <w:t xml:space="preserve">The Q3 2023 sales report confirms that pharmacists in Birmingham, United Kingdom, are not merely dispensers of medicines but strategic healthcare drivers. Their clinical expertise directly fuels commercial success through higher prescription adherence, increased OTC sales driven by evidence-based advice, and revenue from NHS-commissioned services. In a city where health inequalities persist across diverse neighbourhoods, the pharmacist’s role in delivering accessible, personalised care has proven indispensable. Sustained investment in pharmacist training, technology adoption within the United Kingdom regulatory framework—and recognition of pharmacists as frontline healthcare professionals—will be critical for Birmingham pharmacies to thrive while meeting the community’s evolving health demands.</w:t>
      </w:r>
    </w:p>
    <w:p>
      <w:pPr>
        <w:pStyle w:val="BodyText"/>
      </w:pPr>
      <w:r>
        <w:rPr>
          <w:bCs/>
          <w:b/>
        </w:rPr>
        <w:t xml:space="preserve">Prepared For:</w:t>
      </w:r>
      <w:r>
        <w:t xml:space="preserve"> </w:t>
      </w:r>
      <w:r>
        <w:t xml:space="preserve">Birmingham Community Pharmacy Network &amp; West Midlands NHS Commissioning Partnership</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Kingdom Birmingham</dc:title>
  <dc:creator/>
  <dc:language>en</dc:language>
  <cp:keywords/>
  <dcterms:created xsi:type="dcterms:W3CDTF">2025-12-15T22:44:58Z</dcterms:created>
  <dcterms:modified xsi:type="dcterms:W3CDTF">2025-12-15T22:44:58Z</dcterms:modified>
</cp:coreProperties>
</file>

<file path=docProps/custom.xml><?xml version="1.0" encoding="utf-8"?>
<Properties xmlns="http://schemas.openxmlformats.org/officeDocument/2006/custom-properties" xmlns:vt="http://schemas.openxmlformats.org/officeDocument/2006/docPropsVTypes"/>
</file>