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Manchester,</w:t>
      </w:r>
      <w:r>
        <w:t xml:space="preserve"> </w:t>
      </w:r>
      <w:r>
        <w:t xml:space="preserve">United</w:t>
      </w:r>
      <w:r>
        <w:t xml:space="preserve"> </w:t>
      </w:r>
      <w:r>
        <w:t xml:space="preserve">Kingdom</w:t>
      </w:r>
    </w:p>
    <w:bookmarkStart w:id="28" w:name="Xa29470876f6f0d02bd31bb95903e8951a2c89a1"/>
    <w:p>
      <w:pPr>
        <w:pStyle w:val="Heading1"/>
      </w:pPr>
      <w:r>
        <w:t xml:space="preserve">Sales Report: Pharmacist-Led Performance Analysis for Manchester Operations, United Kingdom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Pharmacy Management Team, United Kingdom Branches</w:t>
      </w:r>
      <w:r>
        <w:br/>
      </w:r>
      <w:r>
        <w:rPr>
          <w:bCs/>
          <w:b/>
        </w:rPr>
        <w:t xml:space="preserve">Location:</w:t>
      </w:r>
      <w:r>
        <w:t xml:space="preserve"> </w:t>
      </w:r>
      <w:r>
        <w:t xml:space="preserve">Manchester City Centre &amp; Surrounding Districts (United Kingdom)</w:t>
      </w:r>
    </w:p>
    <w:bookmarkStart w:id="20" w:name="purpose-of-report"/>
    <w:p>
      <w:pPr>
        <w:pStyle w:val="Heading2"/>
      </w:pPr>
      <w:r>
        <w:t xml:space="preserve">Purpose of Report</w:t>
      </w:r>
    </w:p>
    <w:p>
      <w:pPr>
        <w:pStyle w:val="FirstParagraph"/>
      </w:pPr>
      <w:r>
        <w:t xml:space="preserve">This comprehensive Sales Report details the performance metrics, market trends, and strategic insights from our pharmacy operations across Manchester, United Kingdom. It specifically evaluates the pivotal role of the licensed Pharmacist in driving sales growth, customer satisfaction, and community health outcomes within this key UK region. As a cornerstone of healthcare delivery in Greater Manchester's 1.3 million population hub, the Pharmacist's expertise directly influences commercial performance and service excellence.</w:t>
      </w:r>
    </w:p>
    <w:bookmarkEnd w:id="20"/>
    <w:bookmarkStart w:id="21" w:name="executive-summary"/>
    <w:p>
      <w:pPr>
        <w:pStyle w:val="Heading2"/>
      </w:pPr>
      <w:r>
        <w:t xml:space="preserve">Executive Summary</w:t>
      </w:r>
    </w:p>
    <w:p>
      <w:pPr>
        <w:pStyle w:val="FirstParagraph"/>
      </w:pPr>
      <w:r>
        <w:t xml:space="preserve">Manchester-based pharmacy sales demonstrated robust growth (+14.7% YoY) during Q3 2023, significantly outperforming the UK national average of +6.3%. This success is intrinsically linked to the strategic deployment and clinical leadership of our Pharmacist team. Key drivers included enhanced chronic disease management services, targeted seasonal health campaigns, and community health partnerships—all spearheaded by qualified Pharmacists operating within Manchester's unique healthcare landscape. The report confirms that effective Pharmacist engagement is non-negotiable for sustainable growth in the United Kingdom pharmacy market.</w:t>
      </w:r>
    </w:p>
    <w:bookmarkEnd w:id="21"/>
    <w:bookmarkStart w:id="22" w:name="X0faeea3bf3cfc4dcc179593aaf007aa3654569a"/>
    <w:p>
      <w:pPr>
        <w:pStyle w:val="Heading2"/>
      </w:pPr>
      <w:r>
        <w:t xml:space="preserve">Key Sales Performance Metrics (Manchester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(GBP)</w:t>
            </w:r>
          </w:p>
        </w:tc>
        <w:tc>
          <w:tcPr/>
          <w:p>
            <w:pPr>
              <w:pStyle w:val="Compact"/>
              <w:jc w:val="left"/>
            </w:pPr>
            <w:r>
              <w:t xml:space="preserve">£1,854,000</w:t>
            </w:r>
          </w:p>
        </w:tc>
        <w:tc>
          <w:tcPr/>
          <w:p>
            <w:pPr>
              <w:pStyle w:val="Compact"/>
              <w:jc w:val="left"/>
            </w:pPr>
            <w:r>
              <w:t xml:space="preserve">£1,616,500</w:t>
            </w:r>
          </w:p>
        </w:tc>
        <w:tc>
          <w:tcPr/>
          <w:p>
            <w:pPr>
              <w:pStyle w:val="Compact"/>
              <w:jc w:val="left"/>
            </w:pPr>
            <w:r>
              <w:t xml:space="preserve">+14.7%</w:t>
            </w:r>
          </w:p>
        </w:tc>
      </w:tr>
      <w:tr>
        <w:tc>
          <w:tcPr/>
          <w:p>
            <w:pPr>
              <w:pStyle w:val="Compact"/>
              <w:jc w:val="left"/>
            </w:pPr>
            <w:r>
              <w:t xml:space="preserve">Pharmacist-Driven Consultations</w:t>
            </w:r>
          </w:p>
        </w:tc>
        <w:tc>
          <w:tcPr>
            <w:gridSpan w:val="3"/>
          </w:tcPr>
          <w:p>
            <w:pPr>
              <w:pStyle w:val="Compact"/>
              <w:jc w:val="left"/>
            </w:pPr>
            <w:r>
              <w:t xml:space="preserve">23% increase in volume (982 vs 802)</w:t>
            </w:r>
          </w:p>
        </w:tc>
      </w:tr>
      <w:tr>
        <w:tc>
          <w:tcPr/>
          <w:p>
            <w:pPr>
              <w:pStyle w:val="Compact"/>
              <w:jc w:val="left"/>
            </w:pPr>
            <w:r>
              <w:t xml:space="preserve">Chronic Disease Management Sales</w:t>
            </w:r>
          </w:p>
        </w:tc>
        <w:tc>
          <w:tcPr/>
          <w:p>
            <w:pPr>
              <w:pStyle w:val="Compact"/>
              <w:jc w:val="left"/>
            </w:pPr>
            <w:r>
              <w:t xml:space="preserve">£415,000</w:t>
            </w:r>
          </w:p>
        </w:tc>
        <w:tc>
          <w:tcPr/>
          <w:p>
            <w:pPr>
              <w:pStyle w:val="Compact"/>
              <w:jc w:val="left"/>
            </w:pPr>
            <w:r>
              <w:t xml:space="preserve">£347,500</w:t>
            </w:r>
          </w:p>
        </w:tc>
        <w:tc>
          <w:tcPr/>
          <w:p>
            <w:pPr>
              <w:pStyle w:val="Compact"/>
              <w:jc w:val="left"/>
            </w:pPr>
            <w:r>
              <w:t xml:space="preserve">+19.4%</w:t>
            </w:r>
          </w:p>
        </w:tc>
      </w:tr>
      <w:tr>
        <w:tc>
          <w:tcPr/>
          <w:p>
            <w:pPr>
              <w:pStyle w:val="Compact"/>
              <w:jc w:val="left"/>
            </w:pPr>
            <w:r>
              <w:t xml:space="preserve">Oxygen &amp; Medical Equipment Sales</w:t>
            </w:r>
          </w:p>
        </w:tc>
        <w:tc>
          <w:tcPr/>
          <w:p>
            <w:pPr>
              <w:pStyle w:val="Compact"/>
              <w:jc w:val="left"/>
            </w:pPr>
            <w:r>
              <w:t xml:space="preserve">£228,750</w:t>
            </w:r>
          </w:p>
        </w:tc>
        <w:tc>
          <w:tcPr/>
          <w:p>
            <w:pPr>
              <w:pStyle w:val="Compact"/>
              <w:jc w:val="left"/>
            </w:pPr>
            <w:r>
              <w:t xml:space="preserve">£189,300</w:t>
            </w:r>
          </w:p>
        </w:tc>
        <w:tc>
          <w:tcPr/>
          <w:p>
            <w:pPr>
              <w:pStyle w:val="Compact"/>
              <w:jc w:val="left"/>
            </w:pPr>
            <w:r>
              <w:t xml:space="preserve">% Change: +20.8%</w:t>
            </w:r>
          </w:p>
        </w:tc>
      </w:tr>
      <w:tr>
        <w:tc>
          <w:tcPr/>
          <w:p>
            <w:pPr>
              <w:pStyle w:val="Compact"/>
              <w:jc w:val="left"/>
            </w:pPr>
            <w:r>
              <w:t xml:space="preserve">NHS Prescription Revenue Share</w:t>
            </w:r>
          </w:p>
        </w:tc>
        <w:tc>
          <w:tcPr/>
          <w:p>
            <w:pPr>
              <w:pStyle w:val="Compact"/>
              <w:jc w:val="left"/>
            </w:pPr>
            <w:r>
              <w:t xml:space="preserve">41.2%</w:t>
            </w:r>
          </w:p>
        </w:tc>
        <w:tc>
          <w:tcPr/>
          <w:p>
            <w:pPr>
              <w:pStyle w:val="Compact"/>
              <w:jc w:val="left"/>
            </w:pPr>
            <w:r>
              <w:t xml:space="preserve">39.7%</w:t>
            </w:r>
          </w:p>
        </w:tc>
        <w:tc>
          <w:tcPr/>
          <w:p>
            <w:pPr>
              <w:pStyle w:val="Compact"/>
              <w:jc w:val="left"/>
            </w:pPr>
            <w:r>
              <w:t xml:space="preserve">+1.5 pts</w:t>
            </w:r>
          </w:p>
        </w:tc>
      </w:tr>
    </w:tbl>
    <w:bookmarkEnd w:id="22"/>
    <w:bookmarkStart w:id="23" w:name="X9e5db056dc42fd1d58b309a3c3427bdfcb9a7ae"/>
    <w:p>
      <w:pPr>
        <w:pStyle w:val="Heading2"/>
      </w:pPr>
      <w:r>
        <w:t xml:space="preserve">The Pharmacist: Central to Manchester's Sales Success</w:t>
      </w:r>
    </w:p>
    <w:p>
      <w:pPr>
        <w:pStyle w:val="FirstParagraph"/>
      </w:pPr>
      <w:r>
        <w:t xml:space="preserve">The data unequivocally shows that the Pharmacist is the catalyst for commercial success in our Manchester outlets. Unlike purely transactional models, our Pharmacist-led approach—offering clinical consultations, medication reviews, and health screenings—directly generates higher-margin revenue streams. For instance:</w:t>
      </w:r>
    </w:p>
    <w:p>
      <w:pPr>
        <w:numPr>
          <w:ilvl w:val="0"/>
          <w:numId w:val="1001"/>
        </w:numPr>
        <w:pStyle w:val="Compact"/>
      </w:pPr>
      <w:r>
        <w:t xml:space="preserve">Pharmacists at our Oxford Road site initiated 142 new diabetes management plans in Q3, driving £108k in associated product sales (medication, glucometers, test strips).</w:t>
      </w:r>
    </w:p>
    <w:p>
      <w:pPr>
        <w:numPr>
          <w:ilvl w:val="0"/>
          <w:numId w:val="1001"/>
        </w:numPr>
        <w:pStyle w:val="Compact"/>
      </w:pPr>
      <w:r>
        <w:t xml:space="preserve">A targeted Pharmacist-led flu vaccination campaign across six Manchester branches achieved 98% of annual targets by September, contributing £76k to seasonal revenue and strengthening community trust.</w:t>
      </w:r>
    </w:p>
    <w:p>
      <w:pPr>
        <w:numPr>
          <w:ilvl w:val="0"/>
          <w:numId w:val="1001"/>
        </w:numPr>
        <w:pStyle w:val="Compact"/>
      </w:pPr>
      <w:r>
        <w:t xml:space="preserve">Pharmacist recommendations for weight management programs resulted in a 32% uplift in specialist supplement sales at our Ancoats location—a direct response to local health data showing Manchester's obesity rate (28.9%) exceeding the UK average (27.5%).</w:t>
      </w:r>
    </w:p>
    <w:bookmarkEnd w:id="23"/>
    <w:bookmarkStart w:id="24" w:name="manchester-specific-market-dynamics"/>
    <w:p>
      <w:pPr>
        <w:pStyle w:val="Heading2"/>
      </w:pPr>
      <w:r>
        <w:t xml:space="preserve">Manchester-Specific Market Dynamics</w:t>
      </w:r>
    </w:p>
    <w:p>
      <w:pPr>
        <w:pStyle w:val="FirstParagraph"/>
      </w:pPr>
      <w:r>
        <w:t xml:space="preserve">Our success is deeply rooted in understanding Manchester’s unique healthcare ecosystem within the United Kingdom:</w:t>
      </w:r>
    </w:p>
    <w:p>
      <w:pPr>
        <w:numPr>
          <w:ilvl w:val="0"/>
          <w:numId w:val="1002"/>
        </w:numPr>
        <w:pStyle w:val="Compact"/>
      </w:pPr>
      <w:r>
        <w:rPr>
          <w:bCs/>
          <w:b/>
        </w:rPr>
        <w:t xml:space="preserve">Demographics:</w:t>
      </w:r>
      <w:r>
        <w:t xml:space="preserve"> </w:t>
      </w:r>
      <w:r>
        <w:t xml:space="preserve">Manchester has a younger, more ethnically diverse population than many UK cities. Pharmacists tailored health advice (e.g., culturally appropriate diabetes support for South Asian communities) boosted sales in key product categories by 18%.</w:t>
      </w:r>
    </w:p>
    <w:p>
      <w:pPr>
        <w:numPr>
          <w:ilvl w:val="0"/>
          <w:numId w:val="1002"/>
        </w:numPr>
        <w:pStyle w:val="Compact"/>
      </w:pPr>
      <w:r>
        <w:rPr>
          <w:bCs/>
          <w:b/>
        </w:rPr>
        <w:t xml:space="preserve">NHS Integration:</w:t>
      </w:r>
      <w:r>
        <w:t xml:space="preserve"> </w:t>
      </w:r>
      <w:r>
        <w:t xml:space="preserve">Successful collaboration with Manchester Clinical Commissioning Group (CCG) on "Medicines Optimisation" initiatives allowed Pharmacists to bill for clinical services, adding £215k in revenue previously unaccounted for.</w:t>
      </w:r>
    </w:p>
    <w:p>
      <w:pPr>
        <w:numPr>
          <w:ilvl w:val="0"/>
          <w:numId w:val="1002"/>
        </w:numPr>
        <w:pStyle w:val="Compact"/>
      </w:pPr>
      <w:r>
        <w:rPr>
          <w:bCs/>
          <w:b/>
        </w:rPr>
        <w:t xml:space="preserve">Seasonal Demand:</w:t>
      </w:r>
      <w:r>
        <w:t xml:space="preserve"> </w:t>
      </w:r>
      <w:r>
        <w:t xml:space="preserve">Manchester’s climate drives higher winter demand for respiratory products. Pharmacist-led advice during the cold snap (February 2023) increased cough/cold sales by 37% versus the previous year.</w:t>
      </w:r>
    </w:p>
    <w:bookmarkEnd w:id="24"/>
    <w:bookmarkStart w:id="25" w:name="challenges-strategic-recommendations"/>
    <w:p>
      <w:pPr>
        <w:pStyle w:val="Heading2"/>
      </w:pPr>
      <w:r>
        <w:t xml:space="preserve">Challenges &amp; Strategic Recommendations</w:t>
      </w:r>
    </w:p>
    <w:p>
      <w:pPr>
        <w:pStyle w:val="FirstParagraph"/>
      </w:pPr>
      <w:r>
        <w:t xml:space="preserve">Despite strong results, Manchester-specific challenges persist:</w:t>
      </w:r>
    </w:p>
    <w:p>
      <w:pPr>
        <w:numPr>
          <w:ilvl w:val="0"/>
          <w:numId w:val="1003"/>
        </w:numPr>
        <w:pStyle w:val="Compact"/>
      </w:pPr>
      <w:r>
        <w:rPr>
          <w:bCs/>
          <w:b/>
        </w:rPr>
        <w:t xml:space="preserve">Staffing Pressure:</w:t>
      </w:r>
      <w:r>
        <w:t xml:space="preserve"> </w:t>
      </w:r>
      <w:r>
        <w:t xml:space="preserve">High patient volumes (avg. 180 daily consultations/pharmacist) risk service quality. *Recommendation: Invest in additional Pharmacist roles at Piccadilly Gardens and Deansgate outlets to maintain standards.</w:t>
      </w:r>
    </w:p>
    <w:p>
      <w:pPr>
        <w:numPr>
          <w:ilvl w:val="0"/>
          <w:numId w:val="1003"/>
        </w:numPr>
        <w:pStyle w:val="Compact"/>
      </w:pPr>
      <w:r>
        <w:rPr>
          <w:bCs/>
          <w:b/>
        </w:rPr>
        <w:t xml:space="preserve">Competitive Landscape:</w:t>
      </w:r>
      <w:r>
        <w:t xml:space="preserve"> </w:t>
      </w:r>
      <w:r>
        <w:t xml:space="preserve">Online pharmacy growth impacts local footfall. *Recommendation: Enhance Pharmacist-led "same-day prescription review" service as a differentiator.</w:t>
      </w:r>
    </w:p>
    <w:p>
      <w:pPr>
        <w:numPr>
          <w:ilvl w:val="0"/>
          <w:numId w:val="1003"/>
        </w:numPr>
        <w:pStyle w:val="Compact"/>
      </w:pPr>
      <w:r>
        <w:rPr>
          <w:bCs/>
          <w:b/>
        </w:rPr>
        <w:t xml:space="preserve">Regulatory Shifts:</w:t>
      </w:r>
      <w:r>
        <w:t xml:space="preserve"> </w:t>
      </w:r>
      <w:r>
        <w:t xml:space="preserve">New UK Government guidance on NHS community services requires Pharmacist involvement in more health checks. *Recommendation: Train all Manchester Pharmacists on new NICE pathways to unlock future revenue streams.</w:t>
      </w:r>
    </w:p>
    <w:bookmarkEnd w:id="25"/>
    <w:bookmarkStart w:id="26" w:name="community-impact-future-outlook"/>
    <w:p>
      <w:pPr>
        <w:pStyle w:val="Heading2"/>
      </w:pPr>
      <w:r>
        <w:t xml:space="preserve">Community Impact &amp; Future Outlook</w:t>
      </w:r>
    </w:p>
    <w:p>
      <w:pPr>
        <w:pStyle w:val="FirstParagraph"/>
      </w:pPr>
      <w:r>
        <w:t xml:space="preserve">Beyond sales figures, the Pharmacist's role in Manchester has tangible social value. During Mental Health Awareness Week 2023, Manchester-based Pharmacists delivered 475 free wellbeing consultations—resulting in 89 referrals to local mental health services and strengthening our community reputation. This builds long-term customer loyalty critical for sustained sales growth.</w:t>
      </w:r>
    </w:p>
    <w:p>
      <w:pPr>
        <w:pStyle w:val="BodyText"/>
      </w:pPr>
      <w:r>
        <w:t xml:space="preserve">Looking ahead to Q4, the United Kingdom’s Health and Care Bill emphasizes Pharmacist-led services as a national priority. Our Manchester operations are positioned to lead this transition, with projected sales growth of 16-18% in 2024 driven by expanded clinical roles. The Pharmacist is no longer just a dispensing role—they are the central revenue driver, community health advocate, and strategic asset in our United Kingdom Manchester strategy.</w:t>
      </w:r>
    </w:p>
    <w:bookmarkEnd w:id="26"/>
    <w:bookmarkStart w:id="27" w:name="conclusion"/>
    <w:p>
      <w:pPr>
        <w:pStyle w:val="Heading2"/>
      </w:pPr>
      <w:r>
        <w:t xml:space="preserve">Conclusion</w:t>
      </w:r>
    </w:p>
    <w:p>
      <w:pPr>
        <w:pStyle w:val="FirstParagraph"/>
      </w:pPr>
      <w:r>
        <w:t xml:space="preserve">This Sales Report underscores that effective sales performance in the United Kingdom's competitive pharmacy market is inseparable from empowered Pharmacist leadership. In Manchester—a city with complex healthcare needs and vibrant communities—our Pharmacist team has proven instrumental in generating significant revenue growth (+14.7% YoY), enhancing service quality, and building trust. Investing further in Pharmacist training, staffing, and clinical service expansion will solidify our position as the leading community pharmacy provider in Manchester and serve as a scalable model across the United Kingdom. The data is clear: where Pharmacists lead, sales—and community health—thrive.</w:t>
      </w:r>
    </w:p>
    <w:p>
      <w:pPr>
        <w:pStyle w:val="BodyText"/>
      </w:pPr>
      <w:r>
        <w:rPr>
          <w:bCs/>
          <w:b/>
        </w:rPr>
        <w:t xml:space="preserve">Prepared By:</w:t>
      </w:r>
      <w:r>
        <w:t xml:space="preserve"> </w:t>
      </w:r>
      <w:r>
        <w:t xml:space="preserve">Commercial Strategy &amp; Analytics Team</w:t>
      </w:r>
      <w:r>
        <w:br/>
      </w:r>
      <w:r>
        <w:rPr>
          <w:bCs/>
          <w:b/>
        </w:rPr>
        <w:t xml:space="preserve">Pharmacy Network Operations</w:t>
      </w:r>
      <w:r>
        <w:br/>
      </w:r>
      <w:r>
        <w:t xml:space="preserve">Manchester,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 Manchester, United Kingdom</dc:title>
  <dc:creator/>
  <dc:language>en</dc:language>
  <cp:keywords/>
  <dcterms:created xsi:type="dcterms:W3CDTF">2026-07-24T12:31:10Z</dcterms:created>
  <dcterms:modified xsi:type="dcterms:W3CDTF">2026-07-24T12:31:10Z</dcterms:modified>
</cp:coreProperties>
</file>

<file path=docProps/custom.xml><?xml version="1.0" encoding="utf-8"?>
<Properties xmlns="http://schemas.openxmlformats.org/officeDocument/2006/custom-properties" xmlns:vt="http://schemas.openxmlformats.org/officeDocument/2006/docPropsVTypes"/>
</file>