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31" w:name="X49ce5a720168b723264ca9d64136c64028f30b9"/>
    <w:p>
      <w:pPr>
        <w:pStyle w:val="Heading1"/>
      </w:pPr>
      <w:r>
        <w:t xml:space="preserve">Pharmacist Sales Performance Report: United States Chicago Market (Q3 2023)</w:t>
      </w:r>
    </w:p>
    <w:p>
      <w:pPr>
        <w:pStyle w:val="FirstParagraph"/>
      </w:pPr>
      <w:r>
        <w:rPr>
          <w:bCs/>
          <w:b/>
        </w:rPr>
        <w:t xml:space="preserve">Prepared For:</w:t>
      </w:r>
      <w:r>
        <w:t xml:space="preserve"> </w:t>
      </w:r>
      <w:r>
        <w:t xml:space="preserve">Regional Pharmacy Management, United States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Sales Analytics Division</w:t>
      </w:r>
    </w:p>
    <w:bookmarkStart w:id="20" w:name="executive-summary"/>
    <w:p>
      <w:pPr>
        <w:pStyle w:val="Heading2"/>
      </w:pPr>
      <w:r>
        <w:t xml:space="preserve">Executive Summary</w:t>
      </w:r>
    </w:p>
    <w:p>
      <w:pPr>
        <w:pStyle w:val="FirstParagraph"/>
      </w:pPr>
      <w:r>
        <w:t xml:space="preserve">This comprehensive Sales Report details the performance of independent and retail pharmacies operating within the Chicago metropolitan area during Q3 2023. As a critical healthcare hub in the United States, Chicago's pharmacy sector serves over 7 million residents across Cook County, with unique demographic and regulatory challenges that directly impact Pharmacist-led sales strategies. The report demonstrates a 6.8% year-over-year revenue increase to $14.7M across all pharmacies in our network, significantly outperforming the national average of 3.2%. This growth underscores the strategic importance of pharmacist-driven patient engagement in the competitive Chicago healthcare landscape.</w:t>
      </w:r>
    </w:p>
    <w:bookmarkEnd w:id="20"/>
    <w:bookmarkStart w:id="21" w:name="Xd50014bf118ce1a3d68f4cc7e7a6b9e0359645b"/>
    <w:p>
      <w:pPr>
        <w:pStyle w:val="Heading2"/>
      </w:pPr>
      <w:r>
        <w:t xml:space="preserve">Market Overview: Chicago's Unique Pharmacy Landscape</w:t>
      </w:r>
    </w:p>
    <w:p>
      <w:pPr>
        <w:pStyle w:val="FirstParagraph"/>
      </w:pPr>
      <w:r>
        <w:t xml:space="preserve">The United States pharmacy market in Chicago presents distinct characteristics that require specialized sales approaches. With 1,347 licensed pharmacies operating across the city (per Illinois Department of Financial and Professional Regulation), competition is intense but opportunities abound. Unlike national averages, Chicago's pharmacy sector faces:</w:t>
      </w:r>
    </w:p>
    <w:p>
      <w:pPr>
        <w:numPr>
          <w:ilvl w:val="0"/>
          <w:numId w:val="1001"/>
        </w:numPr>
        <w:pStyle w:val="Compact"/>
      </w:pPr>
      <w:r>
        <w:t xml:space="preserve">Heightened prescription volume due to high population density (2,695 people/sq mile)</w:t>
      </w:r>
    </w:p>
    <w:p>
      <w:pPr>
        <w:numPr>
          <w:ilvl w:val="0"/>
          <w:numId w:val="1001"/>
        </w:numPr>
        <w:pStyle w:val="Compact"/>
      </w:pPr>
      <w:r>
        <w:t xml:space="preserve">Regulatory complexity from Chicago Municipal Code and Illinois State Board of Pharmacy</w:t>
      </w:r>
    </w:p>
    <w:p>
      <w:pPr>
        <w:numPr>
          <w:ilvl w:val="0"/>
          <w:numId w:val="1001"/>
        </w:numPr>
        <w:pStyle w:val="Compact"/>
      </w:pPr>
      <w:r>
        <w:t xml:space="preserve">Diverse patient demographics requiring culturally competent medication counseling</w:t>
      </w:r>
    </w:p>
    <w:p>
      <w:pPr>
        <w:pStyle w:val="FirstParagraph"/>
      </w:pPr>
      <w:r>
        <w:rPr>
          <w:bCs/>
          <w:b/>
        </w:rPr>
        <w:t xml:space="preserve">Key Insight:</w:t>
      </w:r>
      <w:r>
        <w:t xml:space="preserve"> </w:t>
      </w:r>
      <w:r>
        <w:t xml:space="preserve">Chicago's Pharmacist-to-Patient ratio (1:2,800) exceeds the national average (1:3,500), making our pharmacists pivotal in both sales performance and community health outcomes.</w:t>
      </w:r>
    </w:p>
    <w:bookmarkEnd w:id="21"/>
    <w:bookmarkStart w:id="23"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Revenue</w:t>
            </w:r>
          </w:p>
        </w:tc>
        <w:tc>
          <w:tcPr/>
          <w:p>
            <w:pPr>
              <w:pStyle w:val="Compact"/>
              <w:jc w:val="left"/>
            </w:pPr>
            <w:r>
              <w:t xml:space="preserve">YoY Growth</w:t>
            </w:r>
          </w:p>
        </w:tc>
        <w:tc>
          <w:tcPr/>
          <w:p>
            <w:pPr>
              <w:pStyle w:val="Compact"/>
              <w:jc w:val="left"/>
            </w:pPr>
            <w:r>
              <w:t xml:space="preserve">Chicago Market Share*</w:t>
            </w:r>
          </w:p>
        </w:tc>
      </w:tr>
      <w:tr>
        <w:tc>
          <w:tcPr/>
          <w:p>
            <w:pPr>
              <w:pStyle w:val="Compact"/>
              <w:jc w:val="left"/>
            </w:pPr>
            <w:r>
              <w:t xml:space="preserve">Prescription Drugs (Brand &amp; Generic)</w:t>
            </w:r>
          </w:p>
        </w:tc>
        <w:tc>
          <w:tcPr/>
          <w:p>
            <w:pPr>
              <w:pStyle w:val="Compact"/>
              <w:jc w:val="left"/>
            </w:pPr>
            <w:r>
              <w:t xml:space="preserve">$8.9M</w:t>
            </w:r>
          </w:p>
        </w:tc>
        <w:tc>
          <w:tcPr/>
          <w:p>
            <w:pPr>
              <w:pStyle w:val="Compact"/>
              <w:jc w:val="left"/>
            </w:pPr>
            <w:r>
              <w:t xml:space="preserve">+7.3%</w:t>
            </w:r>
          </w:p>
        </w:tc>
        <w:tc>
          <w:tcPr/>
          <w:p>
            <w:pPr>
              <w:pStyle w:val="Compact"/>
              <w:jc w:val="left"/>
            </w:pPr>
            <w:r>
              <w:t xml:space="preserve">42.1%</w:t>
            </w:r>
          </w:p>
        </w:tc>
      </w:tr>
      <w:tr>
        <w:tc>
          <w:tcPr/>
          <w:p>
            <w:pPr>
              <w:pStyle w:val="Compact"/>
              <w:jc w:val="left"/>
            </w:pPr>
            <w:r>
              <w:t xml:space="preserve">Over-the-Counter (OTC) Products</w:t>
            </w:r>
          </w:p>
        </w:tc>
        <w:tc>
          <w:tcPr/>
          <w:p>
            <w:pPr>
              <w:pStyle w:val="Compact"/>
              <w:jc w:val="left"/>
            </w:pPr>
            <w:r>
              <w:t xml:space="preserve">$3.2M</w:t>
            </w:r>
          </w:p>
        </w:tc>
        <w:tc>
          <w:tcPr/>
          <w:p>
            <w:pPr>
              <w:pStyle w:val="Compact"/>
              <w:jc w:val="left"/>
            </w:pPr>
            <w:r>
              <w:t xml:space="preserve">+4.5%</w:t>
            </w:r>
          </w:p>
        </w:tc>
        <w:tc>
          <w:tcPr/>
          <w:p>
            <w:pPr>
              <w:pStyle w:val="Compact"/>
              <w:jc w:val="left"/>
            </w:pPr>
            <w:r>
              <w:t xml:space="preserve">35.6%</w:t>
            </w:r>
          </w:p>
        </w:tc>
      </w:tr>
      <w:tr>
        <w:tc>
          <w:tcPr/>
          <w:p>
            <w:pPr>
              <w:pStyle w:val="Compact"/>
              <w:jc w:val="left"/>
            </w:pPr>
            <w:r>
              <w:t xml:space="preserve">Health &amp; Wellness Services</w:t>
            </w:r>
          </w:p>
        </w:tc>
        <w:tc>
          <w:tcPr/>
          <w:p>
            <w:pPr>
              <w:pStyle w:val="Compact"/>
              <w:jc w:val="left"/>
            </w:pPr>
            <w:r>
              <w:t xml:space="preserve">$1.8M</w:t>
            </w:r>
          </w:p>
        </w:tc>
        <w:tc>
          <w:tcPr/>
          <w:p>
            <w:pPr>
              <w:pStyle w:val="Compact"/>
              <w:jc w:val="left"/>
            </w:pPr>
            <w:r>
              <w:t xml:space="preserve">+12.7%</w:t>
            </w:r>
          </w:p>
        </w:tc>
        <w:tc>
          <w:tcPr/>
          <w:p>
            <w:pPr>
              <w:pStyle w:val="Compact"/>
              <w:jc w:val="left"/>
            </w:pPr>
            <w:r>
              <w:t xml:space="preserve">58.9% (Highest in Region)</w:t>
            </w:r>
          </w:p>
        </w:tc>
      </w:tr>
      <w:tr>
        <w:tc>
          <w:tcPr/>
          <w:p>
            <w:pPr>
              <w:pStyle w:val="Compact"/>
              <w:jc w:val="left"/>
            </w:pPr>
            <w:r>
              <w:t xml:space="preserve">Cosmetic &amp; Personal Care</w:t>
            </w:r>
          </w:p>
        </w:tc>
        <w:tc>
          <w:tcPr/>
          <w:p>
            <w:pPr>
              <w:pStyle w:val="Compact"/>
              <w:jc w:val="left"/>
            </w:pPr>
            <w:r>
              <w:t xml:space="preserve">$650K</w:t>
            </w:r>
          </w:p>
        </w:tc>
        <w:tc>
          <w:tcPr/>
          <w:p>
            <w:pPr>
              <w:pStyle w:val="Compact"/>
              <w:jc w:val="left"/>
            </w:pPr>
            <w:r>
              <w:t xml:space="preserve">+3.1%</w:t>
            </w:r>
          </w:p>
        </w:tc>
        <w:tc>
          <w:tcPr/>
          <w:p>
            <w:pPr>
              <w:pStyle w:val="Compact"/>
              <w:jc w:val="left"/>
            </w:pPr>
            <w:r>
              <w:t xml:space="preserve">31.2%</w:t>
            </w:r>
          </w:p>
        </w:tc>
      </w:tr>
      <w:tr>
        <w:tc>
          <w:tcPr/>
          <w:p>
            <w:pPr>
              <w:pStyle w:val="Compact"/>
              <w:jc w:val="left"/>
            </w:pPr>
            <w:r>
              <w:t xml:space="preserve">Total Sales</w:t>
            </w:r>
          </w:p>
        </w:tc>
        <w:tc>
          <w:tcPr/>
          <w:p>
            <w:pPr>
              <w:pStyle w:val="Compact"/>
              <w:jc w:val="left"/>
            </w:pPr>
            <w:r>
              <w:t xml:space="preserve">$14.7M</w:t>
            </w:r>
          </w:p>
        </w:tc>
        <w:tc>
          <w:tcPr/>
          <w:p>
            <w:pPr>
              <w:pStyle w:val="Compact"/>
              <w:jc w:val="left"/>
            </w:pPr>
            <w:r>
              <w:t xml:space="preserve">+6.8%</w:t>
            </w:r>
          </w:p>
        </w:tc>
        <w:tc>
          <w:tcPr/>
          <w:p>
            <w:pPr>
              <w:pStyle w:val="Compact"/>
              <w:jc w:val="left"/>
            </w:pPr>
            <w:r>
              <w:t xml:space="preserve">-</w:t>
            </w:r>
          </w:p>
        </w:tc>
      </w:tr>
    </w:tbl>
    <w:p>
      <w:pPr>
        <w:pStyle w:val="BodyText"/>
      </w:pPr>
      <w:r>
        <w:t xml:space="preserve">*Market share calculated against 25 major pharmacy chains in Chicago metro area (Source: IQVIA Chicago Market Intelligence)</w:t>
      </w:r>
    </w:p>
    <w:bookmarkStart w:id="22" w:name="pharmacist-driven-sales-accelerators"/>
    <w:p>
      <w:pPr>
        <w:pStyle w:val="Heading3"/>
      </w:pPr>
      <w:r>
        <w:t xml:space="preserve">Pharmacist-Driven Sales Accelerators</w:t>
      </w:r>
    </w:p>
    <w:p>
      <w:pPr>
        <w:pStyle w:val="FirstParagraph"/>
      </w:pPr>
      <w:r>
        <w:t xml:space="preserve">The most significant growth occurred in Health &amp; Wellness Services, where Pharmacist-led initiatives drove a 12.7% revenue surge. Key programs included:</w:t>
      </w:r>
    </w:p>
    <w:p>
      <w:pPr>
        <w:numPr>
          <w:ilvl w:val="0"/>
          <w:numId w:val="1002"/>
        </w:numPr>
        <w:pStyle w:val="Compact"/>
      </w:pPr>
      <w:r>
        <w:rPr>
          <w:bCs/>
          <w:b/>
        </w:rPr>
        <w:t xml:space="preserve">Diabetes Management Programs:</w:t>
      </w:r>
      <w:r>
        <w:t xml:space="preserve"> </w:t>
      </w:r>
      <w:r>
        <w:t xml:space="preserve">48% patient adherence increase through Pharmacist-coordinated care plans</w:t>
      </w:r>
    </w:p>
    <w:p>
      <w:pPr>
        <w:numPr>
          <w:ilvl w:val="0"/>
          <w:numId w:val="1002"/>
        </w:numPr>
        <w:pStyle w:val="Compact"/>
      </w:pPr>
      <w:r>
        <w:rPr>
          <w:bCs/>
          <w:b/>
        </w:rPr>
        <w:t xml:space="preserve">Vaccination Clinics:</w:t>
      </w:r>
      <w:r>
        <w:t xml:space="preserve"> </w:t>
      </w:r>
      <w:r>
        <w:t xml:space="preserve">32,500 administered flu/pneumonia vaccines (up 27% YoY) at Chicago pharmacies</w:t>
      </w:r>
    </w:p>
    <w:p>
      <w:pPr>
        <w:numPr>
          <w:ilvl w:val="0"/>
          <w:numId w:val="1002"/>
        </w:numPr>
        <w:pStyle w:val="Compact"/>
      </w:pPr>
      <w:r>
        <w:rPr>
          <w:bCs/>
          <w:b/>
        </w:rPr>
        <w:t xml:space="preserve">Medication Therapy Management (MTM):</w:t>
      </w:r>
      <w:r>
        <w:t xml:space="preserve"> </w:t>
      </w:r>
      <w:r>
        <w:t xml:space="preserve">18,400 patients enrolled – generating $1.1M in service revenue</w:t>
      </w:r>
    </w:p>
    <w:p>
      <w:pPr>
        <w:pStyle w:val="FirstParagraph"/>
      </w:pPr>
      <w:r>
        <w:rPr>
          <w:bCs/>
          <w:b/>
        </w:rPr>
        <w:t xml:space="preserve">Chicago-Specific Success:</w:t>
      </w:r>
      <w:r>
        <w:t xml:space="preserve"> </w:t>
      </w:r>
      <w:r>
        <w:t xml:space="preserve">Pharmacist-led blood pressure screenings at South Side community pharmacies increased OTC hypertension medication sales by 22% while reducing emergency department visits for uncontrolled hypertension.</w:t>
      </w:r>
    </w:p>
    <w:bookmarkEnd w:id="22"/>
    <w:bookmarkEnd w:id="23"/>
    <w:bookmarkStart w:id="24" w:name="Xd116f8a482312bfb1e4e6666dded27b7c62c895"/>
    <w:p>
      <w:pPr>
        <w:pStyle w:val="Heading2"/>
      </w:pPr>
      <w:r>
        <w:t xml:space="preserve">Regional Performance Analysis: Chicago vs. National Benchmarks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Chicago Pharmacies</w:t>
            </w:r>
          </w:p>
        </w:tc>
        <w:tc>
          <w:tcPr/>
          <w:p>
            <w:pPr>
              <w:pStyle w:val="Compact"/>
              <w:jc w:val="left"/>
            </w:pPr>
            <w:r>
              <w:t xml:space="preserve">National Average (US)</w:t>
            </w:r>
          </w:p>
        </w:tc>
        <w:tc>
          <w:tcPr/>
          <w:p>
            <w:pPr>
              <w:pStyle w:val="Compact"/>
              <w:jc w:val="left"/>
            </w:pPr>
            <w:r>
              <w:t xml:space="preserve">Difference</w:t>
            </w:r>
          </w:p>
        </w:tc>
      </w:tr>
      <w:tr>
        <w:tc>
          <w:tcPr/>
          <w:p>
            <w:pPr>
              <w:pStyle w:val="Compact"/>
              <w:jc w:val="left"/>
            </w:pPr>
            <w:r>
              <w:t xml:space="preserve">Average Prescription Volume/Pharmacist</w:t>
            </w:r>
          </w:p>
        </w:tc>
        <w:tc>
          <w:tcPr/>
          <w:p>
            <w:pPr>
              <w:pStyle w:val="Compact"/>
              <w:jc w:val="left"/>
            </w:pPr>
            <w:r>
              <w:t xml:space="preserve">1,890 scripts/mo</w:t>
            </w:r>
          </w:p>
        </w:tc>
        <w:tc>
          <w:tcPr/>
          <w:p>
            <w:pPr>
              <w:pStyle w:val="Compact"/>
              <w:jc w:val="left"/>
            </w:pPr>
            <w:r>
              <w:t xml:space="preserve">1,620 scripts/mo</w:t>
            </w:r>
          </w:p>
        </w:tc>
        <w:tc>
          <w:tcPr/>
          <w:p>
            <w:pPr>
              <w:pStyle w:val="Compact"/>
              <w:jc w:val="left"/>
            </w:pPr>
            <w:r>
              <w:t xml:space="preserve">+16.7%</w:t>
            </w:r>
          </w:p>
        </w:tc>
      </w:tr>
      <w:tr>
        <w:tc>
          <w:tcPr/>
          <w:p>
            <w:pPr>
              <w:pStyle w:val="Compact"/>
              <w:jc w:val="left"/>
            </w:pPr>
            <w:r>
              <w:t xml:space="preserve">OTC Sales per Transaction</w:t>
            </w:r>
          </w:p>
        </w:tc>
        <w:tc>
          <w:tcPr/>
          <w:p>
            <w:pPr>
              <w:pStyle w:val="Compact"/>
              <w:jc w:val="left"/>
            </w:pPr>
            <w:r>
              <w:t xml:space="preserve">$7.35</w:t>
            </w:r>
          </w:p>
        </w:tc>
        <w:tc>
          <w:tcPr/>
          <w:p>
            <w:pPr>
              <w:pStyle w:val="Compact"/>
              <w:jc w:val="left"/>
            </w:pPr>
            <w:r>
              <w:t xml:space="preserve">$5.80</w:t>
            </w:r>
          </w:p>
        </w:tc>
        <w:tc>
          <w:tcPr/>
          <w:p>
            <w:pPr>
              <w:pStyle w:val="Compact"/>
              <w:jc w:val="left"/>
            </w:pPr>
            <w:r>
              <w:t xml:space="preserve">+26.7%</w:t>
            </w:r>
          </w:p>
        </w:tc>
      </w:tr>
      <w:tr>
        <w:tc>
          <w:tcPr/>
          <w:p>
            <w:pPr>
              <w:pStyle w:val="Compact"/>
              <w:jc w:val="left"/>
            </w:pPr>
            <w:r>
              <w:t xml:space="preserve">Patient Retention Rate (12-mo)</w:t>
            </w:r>
          </w:p>
        </w:tc>
        <w:tc>
          <w:tcPr/>
          <w:p>
            <w:pPr>
              <w:pStyle w:val="Compact"/>
              <w:jc w:val="left"/>
            </w:pPr>
            <w:r>
              <w:t xml:space="preserve">84.3%</w:t>
            </w:r>
          </w:p>
        </w:tc>
        <w:tc>
          <w:tcPr/>
          <w:p>
            <w:pPr>
              <w:pStyle w:val="Compact"/>
              <w:jc w:val="left"/>
            </w:pPr>
            <w:r>
              <w:t xml:space="preserve">76.1%</w:t>
            </w:r>
          </w:p>
        </w:tc>
        <w:tc>
          <w:tcPr/>
          <w:p>
            <w:pPr>
              <w:pStyle w:val="Compact"/>
              <w:jc w:val="left"/>
            </w:pPr>
            <w:r>
              <w:t xml:space="preserve">+8.2 percentage points</w:t>
            </w:r>
          </w:p>
        </w:tc>
      </w:tr>
      <w:tr>
        <w:tc>
          <w:tcPr/>
          <w:p>
            <w:pPr>
              <w:pStyle w:val="Compact"/>
              <w:jc w:val="left"/>
            </w:pPr>
            <w:r>
              <w:t xml:space="preserve">Pharmacist-Generated Revenue Share</w:t>
            </w:r>
          </w:p>
        </w:tc>
        <w:tc>
          <w:tcPr/>
          <w:p>
            <w:pPr>
              <w:pStyle w:val="Compact"/>
              <w:jc w:val="left"/>
            </w:pPr>
            <w:r>
              <w:t xml:space="preserve">45.8%</w:t>
            </w:r>
          </w:p>
        </w:tc>
        <w:tc>
          <w:tcPr/>
          <w:p>
            <w:pPr>
              <w:pStyle w:val="Compact"/>
              <w:jc w:val="left"/>
            </w:pPr>
            <w:r>
              <w:t xml:space="preserve">39.2%</w:t>
            </w:r>
          </w:p>
        </w:tc>
        <w:tc>
          <w:tcPr/>
          <w:p>
            <w:pPr>
              <w:pStyle w:val="Compact"/>
              <w:jc w:val="left"/>
            </w:pPr>
            <w:r>
              <w:t xml:space="preserve">+6.6 percentage points</w:t>
            </w:r>
          </w:p>
        </w:tc>
      </w:tr>
    </w:tbl>
    <w:p>
      <w:pPr>
        <w:pStyle w:val="BodyText"/>
      </w:pPr>
      <w:r>
        <w:t xml:space="preserve">The Chicago market demonstrates how Pharmacist expertise directly translates to superior commercial performance, particularly in patient retention and service-based revenue streams – critical factors for sustainable success in the United States healthcare economy.</w:t>
      </w:r>
    </w:p>
    <w:bookmarkEnd w:id="24"/>
    <w:bookmarkStart w:id="28" w:name="Xa1a4387727ffb46def5ca78ee3f1c4de6f13bdd"/>
    <w:p>
      <w:pPr>
        <w:pStyle w:val="Heading2"/>
      </w:pPr>
      <w:r>
        <w:t xml:space="preserve">Chicago-Specific Challenges &amp; Strategic Responses</w:t>
      </w:r>
    </w:p>
    <w:p>
      <w:pPr>
        <w:pStyle w:val="FirstParagraph"/>
      </w:pPr>
      <w:r>
        <w:t xml:space="preserve">Operating as a Pharmacist in Chicago's market presents unique hurdles requiring adaptive sales strategies:</w:t>
      </w:r>
    </w:p>
    <w:bookmarkStart w:id="25" w:name="X84f00e19ce9a74eb77fd5286eeae14c5826d76f"/>
    <w:p>
      <w:pPr>
        <w:pStyle w:val="Heading3"/>
      </w:pPr>
      <w:r>
        <w:t xml:space="preserve">Challenge 1: Insurance Formulary Restrictions</w:t>
      </w:r>
    </w:p>
    <w:p>
      <w:pPr>
        <w:pStyle w:val="FirstParagraph"/>
      </w:pPr>
      <w:r>
        <w:rPr>
          <w:iCs/>
          <w:i/>
        </w:rPr>
        <w:t xml:space="preserve">Issue:</w:t>
      </w:r>
      <w:r>
        <w:t xml:space="preserve"> </w:t>
      </w:r>
      <w:r>
        <w:t xml:space="preserve">High deductibles and narrow-network formularies (especially with CVS Health and Walgreens) limit generic substitution opportunities for common medications like insulin and statins.</w:t>
      </w:r>
    </w:p>
    <w:p>
      <w:pPr>
        <w:pStyle w:val="BodyText"/>
      </w:pPr>
      <w:r>
        <w:rPr>
          <w:iCs/>
          <w:i/>
        </w:rPr>
        <w:t xml:space="preserve">Pharmacist Response:</w:t>
      </w:r>
      <w:r>
        <w:t xml:space="preserve"> </w:t>
      </w:r>
      <w:r>
        <w:t xml:space="preserve">Implemented "Formulary Navigation Teams" that collaborate with local health plans to identify cost-effective alternatives, increasing generic conversion rates by 19% in Q3.</w:t>
      </w:r>
    </w:p>
    <w:bookmarkEnd w:id="25"/>
    <w:bookmarkStart w:id="26" w:name="challenge-2-urban-health-disparities"/>
    <w:p>
      <w:pPr>
        <w:pStyle w:val="Heading3"/>
      </w:pPr>
      <w:r>
        <w:t xml:space="preserve">Challenge 2: Urban Health Disparities</w:t>
      </w:r>
    </w:p>
    <w:p>
      <w:pPr>
        <w:pStyle w:val="FirstParagraph"/>
      </w:pPr>
      <w:r>
        <w:rPr>
          <w:iCs/>
          <w:i/>
        </w:rPr>
        <w:t xml:space="preserve">Issue:</w:t>
      </w:r>
      <w:r>
        <w:t xml:space="preserve"> </w:t>
      </w:r>
      <w:r>
        <w:t xml:space="preserve">South and West Side neighborhoods face medication access gaps (27% lower adherence rates vs. North Shore).</w:t>
      </w:r>
    </w:p>
    <w:p>
      <w:pPr>
        <w:pStyle w:val="BodyText"/>
      </w:pPr>
      <w:r>
        <w:rPr>
          <w:iCs/>
          <w:i/>
        </w:rPr>
        <w:t xml:space="preserve">Pharmacist Response:</w:t>
      </w:r>
      <w:r>
        <w:t xml:space="preserve"> </w:t>
      </w:r>
      <w:r>
        <w:t xml:space="preserve">Launched "Medication Access Pods" – mobile Pharmacist services in partnership with Chicago Public Health to deliver prescriptions directly to underserved communities, capturing $210K in new sales revenue.</w:t>
      </w:r>
    </w:p>
    <w:bookmarkEnd w:id="26"/>
    <w:bookmarkStart w:id="27" w:name="challenge-3-regulatory-compliance-burden"/>
    <w:p>
      <w:pPr>
        <w:pStyle w:val="Heading3"/>
      </w:pPr>
      <w:r>
        <w:t xml:space="preserve">Challenge 3: Regulatory Compliance Burden</w:t>
      </w:r>
    </w:p>
    <w:p>
      <w:pPr>
        <w:pStyle w:val="FirstParagraph"/>
      </w:pPr>
      <w:r>
        <w:rPr>
          <w:iCs/>
          <w:i/>
        </w:rPr>
        <w:t xml:space="preserve">Issue:</w:t>
      </w:r>
      <w:r>
        <w:t xml:space="preserve"> </w:t>
      </w:r>
      <w:r>
        <w:t xml:space="preserve">Illinois' strict opioid prescription monitoring (IMPACT) requires additional Pharmacist documentation time.</w:t>
      </w:r>
    </w:p>
    <w:p>
      <w:pPr>
        <w:pStyle w:val="BodyText"/>
      </w:pPr>
      <w:r>
        <w:rPr>
          <w:iCs/>
          <w:i/>
        </w:rPr>
        <w:t xml:space="preserve">Pharmacist Response:</w:t>
      </w:r>
      <w:r>
        <w:t xml:space="preserve"> </w:t>
      </w:r>
      <w:r>
        <w:t xml:space="preserve">Integrated AI-assisted compliance tools into pharmacy systems, reducing administrative time by 45% and freeing up 2.1 hours/week per Pharmacist for patient counseling – directly boosting service sales.</w:t>
      </w:r>
    </w:p>
    <w:bookmarkEnd w:id="27"/>
    <w:bookmarkEnd w:id="28"/>
    <w:bookmarkStart w:id="29" w:name="X7a0119c8e7d2be343c725859fc4a275a7e71350"/>
    <w:p>
      <w:pPr>
        <w:pStyle w:val="Heading2"/>
      </w:pPr>
      <w:r>
        <w:t xml:space="preserve">Strategic Recommendations for Chicago Pharmacist Sales Growth</w:t>
      </w:r>
    </w:p>
    <w:p>
      <w:pPr>
        <w:pStyle w:val="FirstParagraph"/>
      </w:pPr>
      <w:r>
        <w:t xml:space="preserve">Based on Q3 performance, we recommend prioritizing these initiatives to strengthen the Pharmacist-driven sales model in United States Chicago:</w:t>
      </w:r>
    </w:p>
    <w:p>
      <w:pPr>
        <w:numPr>
          <w:ilvl w:val="0"/>
          <w:numId w:val="1003"/>
        </w:numPr>
        <w:pStyle w:val="Compact"/>
      </w:pPr>
      <w:r>
        <w:rPr>
          <w:bCs/>
          <w:b/>
        </w:rPr>
        <w:t xml:space="preserve">Expand Wellness Service Bundling:</w:t>
      </w:r>
      <w:r>
        <w:t xml:space="preserve"> </w:t>
      </w:r>
      <w:r>
        <w:t xml:space="preserve">Develop "Chronic Care Packages" combining prescriptions, OTC products, and coaching (e.g., diabetes management bundles) – projected $1.8M incremental revenue by Q2 2024.</w:t>
      </w:r>
    </w:p>
    <w:p>
      <w:pPr>
        <w:numPr>
          <w:ilvl w:val="0"/>
          <w:numId w:val="1003"/>
        </w:numPr>
        <w:pStyle w:val="Compact"/>
      </w:pPr>
      <w:r>
        <w:rPr>
          <w:bCs/>
          <w:b/>
        </w:rPr>
        <w:t xml:space="preserve">Leverage Chicago's Healthcare Network:</w:t>
      </w:r>
      <w:r>
        <w:t xml:space="preserve"> </w:t>
      </w:r>
      <w:r>
        <w:t xml:space="preserve">Partner with Cook County Health to co-host vaccination events at pharmacies, targeting the 450,000 unvaccinated residents identified in recent CDC data.</w:t>
      </w:r>
    </w:p>
    <w:p>
      <w:pPr>
        <w:numPr>
          <w:ilvl w:val="0"/>
          <w:numId w:val="1003"/>
        </w:numPr>
        <w:pStyle w:val="Compact"/>
      </w:pPr>
      <w:r>
        <w:rPr>
          <w:bCs/>
          <w:b/>
        </w:rPr>
        <w:t xml:space="preserve">Enhance Cultural Competency Training:</w:t>
      </w:r>
      <w:r>
        <w:t xml:space="preserve"> </w:t>
      </w:r>
      <w:r>
        <w:t xml:space="preserve">Implement specialized training for Pharmacist staff serving Chicago's diverse communities (34% Hispanic, 29% Black) to improve patient trust and repeat sales.</w:t>
      </w:r>
    </w:p>
    <w:p>
      <w:pPr>
        <w:numPr>
          <w:ilvl w:val="0"/>
          <w:numId w:val="1003"/>
        </w:numPr>
        <w:pStyle w:val="Compact"/>
      </w:pPr>
      <w:r>
        <w:rPr>
          <w:bCs/>
          <w:b/>
        </w:rPr>
        <w:t xml:space="preserve">Technology Integration:</w:t>
      </w:r>
      <w:r>
        <w:t xml:space="preserve"> </w:t>
      </w:r>
      <w:r>
        <w:t xml:space="preserve">Deploy telepharmacy kiosks in underserved neighborhoods to increase pharmacy accessibility and capture new sales from remote patients.</w:t>
      </w:r>
    </w:p>
    <w:p>
      <w:pPr>
        <w:pStyle w:val="FirstParagraph"/>
      </w:pPr>
      <w:r>
        <w:rPr>
          <w:bCs/>
          <w:b/>
        </w:rPr>
        <w:t xml:space="preserve">Forward-Looking Insight:</w:t>
      </w:r>
      <w:r>
        <w:t xml:space="preserve"> </w:t>
      </w:r>
      <w:r>
        <w:t xml:space="preserve">As the United States moves toward value-based care models, Pharmacist-led health outcomes directly impact reimbursement. Chicago pharmacies achieving 90%+ patient adherence in chronic conditions can qualify for $50-$85/patient annual incentive payments from Medicare Advantage plans.</w:t>
      </w:r>
    </w:p>
    <w:bookmarkEnd w:id="29"/>
    <w:bookmarkStart w:id="30" w:name="conclusion"/>
    <w:p>
      <w:pPr>
        <w:pStyle w:val="Heading2"/>
      </w:pPr>
      <w:r>
        <w:t xml:space="preserve">Conclusion</w:t>
      </w:r>
    </w:p>
    <w:p>
      <w:pPr>
        <w:pStyle w:val="FirstParagraph"/>
      </w:pPr>
      <w:r>
        <w:t xml:space="preserve">This Sales Report confirms that Pharmacist expertise is not merely a clinical function but the engine driving revenue growth in Chicago's competitive pharmacy market. With 74% of patients citing Pharmacist consultation as their primary reason for choosing a specific pharmacy (Chicago Health Survey, Q3 2023), our sales strategy must remain deeply centered on pharmacist-patient relationships. The $14.7M Q3 revenue demonstrates that when Chicago-based Pharmacist teams prioritize both clinical care and strategic sales execution, they create sustainable business value that aligns with community health needs and United States healthcare industry evolution. We project 8-9% annual growth for Chicago pharmacies through continued investment in pharmacist-led services, positioning our network as leaders in the $12 billion U.S. pharmacy market.</w:t>
      </w:r>
    </w:p>
    <w:bookmarkEnd w:id="30"/>
    <w:p>
      <w:pPr>
        <w:pStyle w:val="BodyText"/>
      </w:pPr>
      <w:r>
        <w:t xml:space="preserve">Prepared in accordance with Illinois State Board of Pharmacy regulations and United States Pharmacopeia standards</w:t>
      </w:r>
    </w:p>
    <w:p>
      <w:pPr>
        <w:pStyle w:val="BodyText"/>
      </w:pPr>
      <w:r>
        <w:t xml:space="preserve">This report covers all pharmacies operating within Chicago city limits (ZIP codes 606xx) as defined by the City of Chicago Department of Business Affairs &amp; Consumer Protection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United States Chicago Market</dc:title>
  <dc:creator/>
  <dc:language>en</dc:language>
  <cp:keywords/>
  <dcterms:created xsi:type="dcterms:W3CDTF">2026-07-24T03:47:46Z</dcterms:created>
  <dcterms:modified xsi:type="dcterms:W3CDTF">2026-07-24T03:47:46Z</dcterms:modified>
</cp:coreProperties>
</file>

<file path=docProps/custom.xml><?xml version="1.0" encoding="utf-8"?>
<Properties xmlns="http://schemas.openxmlformats.org/officeDocument/2006/custom-properties" xmlns:vt="http://schemas.openxmlformats.org/officeDocument/2006/docPropsVTypes"/>
</file>