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1d71869602e16e24d6618e6b04ffacd1f11ef15"/>
    <w:p>
      <w:pPr>
        <w:pStyle w:val="Heading1"/>
      </w:pPr>
      <w:r>
        <w:t xml:space="preserve">Comprehensive Sales Report for Pharmacist Operations in United States San Francisco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Bay Area Pharmacy Network</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provides a detailed analysis of pharmacy performance across key locations in San Francisco, California. The United States San Francisco market remains highly competitive with unique demographic and regulatory dynamics requiring specialized pharmacist expertise. This report confirms that our San Francisco-based pharmacists achieved 108% of Q3 sales targets through strategic inventory management and patient-centered service enhancements. Notably, the Pharmacist-led clinical services initiative drove a 22% increase in high-margin specialty medication sales compared to Q2.</w:t>
      </w:r>
    </w:p>
    <w:bookmarkEnd w:id="20"/>
    <w:bookmarkStart w:id="21" w:name="ii.-sales-performance-overview"/>
    <w:p>
      <w:pPr>
        <w:pStyle w:val="Heading2"/>
      </w:pPr>
      <w:r>
        <w:t xml:space="preserve">II. Sales Performance Overview</w:t>
      </w:r>
    </w:p>
    <w:p>
      <w:pPr>
        <w:pStyle w:val="FirstParagraph"/>
      </w:pPr>
      <w:r>
        <w:t xml:space="preserve">San Francisco's pharmacy market reflects the diverse needs of its 850,000 residents across 13 distinct neighborhoods. Our three flagship locations—Downtown (Market Street), Mission District, and Sunset District—reported combined sales of $1,248,752 for Q3, exceeding projections by $62,139. The Pharmacist team implemented a new workflow protocol optimizing prescription fulfillment during peak hours (10 AM-2 PM), reducing average wait times by 34% and directly contributing to a 15% increase in customer retention rates.</w:t>
      </w:r>
    </w:p>
    <w:p>
      <w:pPr>
        <w:pStyle w:val="BodyText"/>
      </w:pPr>
      <w:r>
        <w:t xml:space="preserve">Key metrics demonstrating the Pharmacist impact:</w:t>
      </w:r>
    </w:p>
    <w:p>
      <w:pPr>
        <w:numPr>
          <w:ilvl w:val="0"/>
          <w:numId w:val="1001"/>
        </w:numPr>
        <w:pStyle w:val="Compact"/>
      </w:pPr>
      <w:r>
        <w:rPr>
          <w:bCs/>
          <w:b/>
        </w:rPr>
        <w:t xml:space="preserve">Prescription Volume:</w:t>
      </w:r>
      <w:r>
        <w:t xml:space="preserve"> </w:t>
      </w:r>
      <w:r>
        <w:t xml:space="preserve">42,870 scripts filled (up 18% YoY)</w:t>
      </w:r>
    </w:p>
    <w:p>
      <w:pPr>
        <w:numPr>
          <w:ilvl w:val="0"/>
          <w:numId w:val="1001"/>
        </w:numPr>
        <w:pStyle w:val="Compact"/>
      </w:pPr>
      <w:r>
        <w:rPr>
          <w:bCs/>
          <w:b/>
        </w:rPr>
        <w:t xml:space="preserve">Average Transaction Value:</w:t>
      </w:r>
      <w:r>
        <w:t xml:space="preserve"> </w:t>
      </w:r>
      <w:r>
        <w:t xml:space="preserve">$65.75 (vs. $62.30 in Q2)</w:t>
      </w:r>
    </w:p>
    <w:p>
      <w:pPr>
        <w:numPr>
          <w:ilvl w:val="0"/>
          <w:numId w:val="1001"/>
        </w:numPr>
        <w:pStyle w:val="Compact"/>
      </w:pPr>
      <w:r>
        <w:rPr>
          <w:bCs/>
          <w:b/>
        </w:rPr>
        <w:t xml:space="preserve">Clinical Service Uptake:</w:t>
      </w:r>
      <w:r>
        <w:t xml:space="preserve"> </w:t>
      </w:r>
      <w:r>
        <w:t xml:space="preserve">3,200 patient consultations completed (Pharmacist-led medication therapy management)</w:t>
      </w:r>
    </w:p>
    <w:p>
      <w:pPr>
        <w:numPr>
          <w:ilvl w:val="0"/>
          <w:numId w:val="1001"/>
        </w:numPr>
        <w:pStyle w:val="Compact"/>
      </w:pPr>
      <w:r>
        <w:rPr>
          <w:bCs/>
          <w:b/>
        </w:rPr>
        <w:t xml:space="preserve">Specialty Drug Sales Growth:</w:t>
      </w:r>
      <w:r>
        <w:t xml:space="preserve"> </w:t>
      </w:r>
      <w:r>
        <w:t xml:space="preserve">31% increase driven by Pharmacist patient education programs</w:t>
      </w:r>
    </w:p>
    <w:bookmarkEnd w:id="21"/>
    <w:bookmarkStart w:id="22" w:name="X0fcc929ec4bd18300e43a5517ef18445068c253"/>
    <w:p>
      <w:pPr>
        <w:pStyle w:val="Heading2"/>
      </w:pPr>
      <w:r>
        <w:t xml:space="preserve">III. Market-Specific Analysis: United States San Francisco Context</w:t>
      </w:r>
    </w:p>
    <w:p>
      <w:pPr>
        <w:pStyle w:val="FirstParagraph"/>
      </w:pPr>
      <w:r>
        <w:t xml:space="preserve">The United States San Francisco pharmacy landscape is shaped by four critical factors requiring Pharmacist adaptation:</w:t>
      </w:r>
    </w:p>
    <w:p>
      <w:pPr>
        <w:numPr>
          <w:ilvl w:val="0"/>
          <w:numId w:val="1002"/>
        </w:numPr>
        <w:pStyle w:val="Compact"/>
      </w:pPr>
      <w:r>
        <w:rPr>
          <w:bCs/>
          <w:b/>
        </w:rPr>
        <w:t xml:space="preserve">Diverse Demographics:</w:t>
      </w:r>
      <w:r>
        <w:t xml:space="preserve"> </w:t>
      </w:r>
      <w:r>
        <w:t xml:space="preserve">With 46% of residents identifying as non-white, our Pharmacist team implemented multilingual medication counseling (Spanish, Mandarin, Vietnamese) at all locations. This initiative directly correlated to a 28% increase in adherence rates among linguistically diverse populations.</w:t>
      </w:r>
    </w:p>
    <w:p>
      <w:pPr>
        <w:numPr>
          <w:ilvl w:val="0"/>
          <w:numId w:val="1002"/>
        </w:numPr>
        <w:pStyle w:val="Compact"/>
      </w:pPr>
      <w:r>
        <w:rPr>
          <w:bCs/>
          <w:b/>
        </w:rPr>
        <w:t xml:space="preserve">Regulatory Environment:</w:t>
      </w:r>
      <w:r>
        <w:t xml:space="preserve"> </w:t>
      </w:r>
      <w:r>
        <w:t xml:space="preserve">California's stringent prescription monitoring program (PMP) requires Pharmacist vigilance. Our San Francisco pharmacists achieved 100% compliance with all state reporting deadlines through automated workflow integration, avoiding $42,000 in potential fines.</w:t>
      </w:r>
    </w:p>
    <w:p>
      <w:pPr>
        <w:numPr>
          <w:ilvl w:val="0"/>
          <w:numId w:val="1002"/>
        </w:numPr>
        <w:pStyle w:val="Compact"/>
      </w:pPr>
      <w:r>
        <w:rPr>
          <w:bCs/>
          <w:b/>
        </w:rPr>
        <w:t xml:space="preserve">Competitive Pressure:</w:t>
      </w:r>
      <w:r>
        <w:t xml:space="preserve"> </w:t>
      </w:r>
      <w:r>
        <w:t xml:space="preserve">With 57 retail pharmacies per 100,000 residents in San Francisco, our Pharmacist differentiation strategy—focusing on chronic disease management programs—secured premium pricing for specialized services.</w:t>
      </w:r>
    </w:p>
    <w:p>
      <w:pPr>
        <w:numPr>
          <w:ilvl w:val="0"/>
          <w:numId w:val="1002"/>
        </w:numPr>
        <w:pStyle w:val="Compact"/>
      </w:pPr>
      <w:r>
        <w:rPr>
          <w:bCs/>
          <w:b/>
        </w:rPr>
        <w:t xml:space="preserve">Demand Shifts:</w:t>
      </w:r>
      <w:r>
        <w:t xml:space="preserve"> </w:t>
      </w:r>
      <w:r>
        <w:t xml:space="preserve">Post-pandemic health trends show 41% of San Francisco residents seeking pharmacist-led wellness services. This necessitated Pharmacist retraining in telehealth platforms, resulting in 200+ virtual consultations monthly.</w:t>
      </w:r>
    </w:p>
    <w:bookmarkEnd w:id="22"/>
    <w:bookmarkStart w:id="23" w:name="Xc5b43bb09c26e1d1c4936a8dad409fb3b62bd88"/>
    <w:p>
      <w:pPr>
        <w:pStyle w:val="Heading2"/>
      </w:pPr>
      <w:r>
        <w:t xml:space="preserve">IV. Product Category Performance Breakdown</w:t>
      </w:r>
    </w:p>
    <w:p>
      <w:pPr>
        <w:pStyle w:val="FirstParagraph"/>
      </w:pPr>
      <w:r>
        <w:t xml:space="preserve">Category performance reveals how the Pharmacist's clinical expertise drives sales:</w:t>
      </w:r>
    </w:p>
    <w:p>
      <w:pPr>
        <w:pStyle w:val="BodyText"/>
      </w:pPr>
      <w:r>
        <w:t xml:space="preserve">Product Category</w:t>
      </w:r>
    </w:p>
    <w:p>
      <w:pPr>
        <w:pStyle w:val="BodyText"/>
      </w:pPr>
      <w:r>
        <w:t xml:space="preserve">% of Total Sales</w:t>
      </w:r>
    </w:p>
    <w:p>
      <w:pPr>
        <w:pStyle w:val="BodyText"/>
      </w:pPr>
      <w:r>
        <w:t xml:space="preserve">Q3 Growth vs. Q2</w:t>
      </w:r>
    </w:p>
    <w:p>
      <w:pPr>
        <w:pStyle w:val="BodyText"/>
      </w:pPr>
      <w:r>
        <w:t xml:space="preserve">Key Pharmacist Initiatives Driving Results</w:t>
      </w:r>
    </w:p>
    <w:p>
      <w:pPr>
        <w:pStyle w:val="BodyText"/>
      </w:pPr>
      <w:r>
        <w:t xml:space="preserve">Pain Management Medications</w:t>
      </w:r>
    </w:p>
    <w:p>
      <w:pPr>
        <w:pStyle w:val="BodyText"/>
      </w:pPr>
      <w:r>
        <w:t xml:space="preserve">28%</w:t>
      </w:r>
    </w:p>
    <w:p>
      <w:pPr>
        <w:pStyle w:val="BodyText"/>
      </w:pPr>
      <w:r>
        <w:t xml:space="preserve">+14%</w:t>
      </w:r>
    </w:p>
    <w:p>
      <w:pPr>
        <w:pStyle w:val="BodyText"/>
      </w:pPr>
      <w:r>
        <w:t xml:space="preserve">Pharmacist-led opioid safety counseling; 35% reduction in refill abandonment</w:t>
      </w:r>
    </w:p>
    <w:p>
      <w:pPr>
        <w:pStyle w:val="BodyText"/>
      </w:pPr>
      <w:r>
        <w:t xml:space="preserve">Chronic Disease Therapeutics (Diabetes, Hypertension)</w:t>
      </w:r>
    </w:p>
    <w:p>
      <w:pPr>
        <w:pStyle w:val="BodyText"/>
      </w:pPr>
      <w:r>
        <w:t xml:space="preserve">37%</w:t>
      </w:r>
    </w:p>
    <w:p>
      <w:pPr>
        <w:pStyle w:val="BodyText"/>
      </w:pPr>
      <w:r>
        <w:t xml:space="preserve">+29%</w:t>
      </w:r>
    </w:p>
    <w:p>
      <w:pPr>
        <w:pStyle w:val="BodyText"/>
      </w:pPr>
      <w:r>
        <w:t xml:space="preserve">Pharmacist-driven adherence programs; 68% patient retention in 90-day cohorts</w:t>
      </w:r>
    </w:p>
    <w:p>
      <w:pPr>
        <w:pStyle w:val="BodyText"/>
      </w:pPr>
      <w:r>
        <w:t xml:space="preserve">Patient-Care Products (OTC, Vitamins)</w:t>
      </w:r>
    </w:p>
    <w:p>
      <w:pPr>
        <w:pStyle w:val="BodyText"/>
      </w:pPr>
      <w:r>
        <w:t xml:space="preserve">19%</w:t>
      </w:r>
    </w:p>
    <w:p>
      <w:pPr>
        <w:pStyle w:val="BodyText"/>
      </w:pPr>
      <w:r>
        <w:rPr>
          <w:bCs/>
          <w:b/>
        </w:rPr>
        <w:t xml:space="preserve">+8%</w:t>
      </w:r>
    </w:p>
    <w:bookmarkEnd w:id="23"/>
    <w:bookmarkStart w:id="24" w:name="X06afaafef57423b449814c5997070120f2f3f09"/>
    <w:p>
      <w:pPr>
        <w:pStyle w:val="Heading2"/>
      </w:pPr>
      <w:r>
        <w:t xml:space="preserve">V. Challenges &amp; Pharmacist-Driven Solutions</w:t>
      </w:r>
    </w:p>
    <w:p>
      <w:pPr>
        <w:pStyle w:val="FirstParagraph"/>
      </w:pPr>
      <w:r>
        <w:t xml:space="preserve">The United States San Francisco market presents unique operational hurdles:</w:t>
      </w:r>
    </w:p>
    <w:p>
      <w:pPr>
        <w:numPr>
          <w:ilvl w:val="0"/>
          <w:numId w:val="1003"/>
        </w:numPr>
        <w:pStyle w:val="Compact"/>
      </w:pPr>
      <w:r>
        <w:rPr>
          <w:iCs/>
          <w:i/>
        </w:rPr>
        <w:t xml:space="preserve">Supply Chain Disruptions:</w:t>
      </w:r>
      <w:r>
        <w:t xml:space="preserve"> </w:t>
      </w:r>
      <w:r>
        <w:t xml:space="preserve">15% of specialty drugs faced shortages. The San Francisco Pharmacist team developed a real-time inventory alert system, reducing stockouts by 63% through predictive ordering based on local prescription trends.</w:t>
      </w:r>
    </w:p>
    <w:p>
      <w:pPr>
        <w:numPr>
          <w:ilvl w:val="0"/>
          <w:numId w:val="1003"/>
        </w:numPr>
        <w:pStyle w:val="Compact"/>
      </w:pPr>
      <w:r>
        <w:rPr>
          <w:iCs/>
          <w:i/>
        </w:rPr>
        <w:t xml:space="preserve">Patient Access Barriers:</w:t>
      </w:r>
      <w:r>
        <w:t xml:space="preserve"> </w:t>
      </w:r>
      <w:r>
        <w:t xml:space="preserve">High housing costs in San Francisco led to transportation challenges for elderly patients. Our Pharmacist coordinated with Lyft Health for free delivery services, increasing prescription pickups by 27% in senior populations.</w:t>
      </w:r>
    </w:p>
    <w:p>
      <w:pPr>
        <w:numPr>
          <w:ilvl w:val="0"/>
          <w:numId w:val="1003"/>
        </w:numPr>
        <w:pStyle w:val="Compact"/>
      </w:pPr>
      <w:r>
        <w:rPr>
          <w:iCs/>
          <w:i/>
        </w:rPr>
        <w:t xml:space="preserve">Regulatory Complexity:</w:t>
      </w:r>
      <w:r>
        <w:t xml:space="preserve"> </w:t>
      </w:r>
      <w:r>
        <w:t xml:space="preserve">New California SB 185 requirements for immunization documentation were implemented through Pharmacist-led staff training sessions, achieving full compliance within 3 weeks of legislation passage.</w:t>
      </w:r>
    </w:p>
    <w:bookmarkEnd w:id="24"/>
    <w:bookmarkStart w:id="25" w:name="vi.-strategic-recommendations"/>
    <w:p>
      <w:pPr>
        <w:pStyle w:val="Heading2"/>
      </w:pPr>
      <w:r>
        <w:t xml:space="preserve">VI. Strategic Recommendations</w:t>
      </w:r>
    </w:p>
    <w:p>
      <w:pPr>
        <w:pStyle w:val="FirstParagraph"/>
      </w:pPr>
      <w:r>
        <w:t xml:space="preserve">To sustain growth in the competitive United States San Francisco pharmacy market, we recommend:</w:t>
      </w:r>
    </w:p>
    <w:p>
      <w:pPr>
        <w:numPr>
          <w:ilvl w:val="0"/>
          <w:numId w:val="1004"/>
        </w:numPr>
        <w:pStyle w:val="Compact"/>
      </w:pPr>
      <w:r>
        <w:rPr>
          <w:bCs/>
          <w:b/>
        </w:rPr>
        <w:t xml:space="preserve">Expand Pharmacist-Led Clinics:</w:t>
      </w:r>
      <w:r>
        <w:t xml:space="preserve"> </w:t>
      </w:r>
      <w:r>
        <w:t xml:space="preserve">Establish dedicated chronic disease management centers at all three locations, leveraging Pharmacist expertise to capture additional Medicare Advantage contracts.</w:t>
      </w:r>
    </w:p>
    <w:p>
      <w:pPr>
        <w:numPr>
          <w:ilvl w:val="0"/>
          <w:numId w:val="1004"/>
        </w:numPr>
        <w:pStyle w:val="Compact"/>
      </w:pPr>
      <w:r>
        <w:rPr>
          <w:bCs/>
          <w:b/>
        </w:rPr>
        <w:t xml:space="preserve">Enhance Technology Integration:</w:t>
      </w:r>
      <w:r>
        <w:t xml:space="preserve"> </w:t>
      </w:r>
      <w:r>
        <w:t xml:space="preserve">Implement AI-powered inventory tools specifically calibrated for San Francisco's prescription patterns, reducing pharmacist administrative time by 25%.</w:t>
      </w:r>
    </w:p>
    <w:p>
      <w:pPr>
        <w:numPr>
          <w:ilvl w:val="0"/>
          <w:numId w:val="1004"/>
        </w:numPr>
        <w:pStyle w:val="Compact"/>
      </w:pPr>
      <w:r>
        <w:rPr>
          <w:bCs/>
          <w:b/>
        </w:rPr>
        <w:t xml:space="preserve">Cultural Competency Investment:</w:t>
      </w:r>
      <w:r>
        <w:t xml:space="preserve"> </w:t>
      </w:r>
      <w:r>
        <w:t xml:space="preserve">Increase Pharmacist training in culturally tailored health communications, targeting the rapidly growing Filipino and Black communities (17% of SF population).</w:t>
      </w:r>
    </w:p>
    <w:p>
      <w:pPr>
        <w:numPr>
          <w:ilvl w:val="0"/>
          <w:numId w:val="1004"/>
        </w:numPr>
        <w:pStyle w:val="Compact"/>
      </w:pPr>
      <w:r>
        <w:rPr>
          <w:bCs/>
          <w:b/>
        </w:rPr>
        <w:t xml:space="preserve">Telehealth Expansion:</w:t>
      </w:r>
      <w:r>
        <w:t xml:space="preserve"> </w:t>
      </w:r>
      <w:r>
        <w:t xml:space="preserve">Partner with UCSF Health to co-host virtual Pharmacist consultations for remote San Francisco residents, addressing transportation barriers in neighborhoods like Bayview-Hunters Point.</w:t>
      </w:r>
    </w:p>
    <w:bookmarkEnd w:id="25"/>
    <w:bookmarkStart w:id="26" w:name="vii.-conclusion"/>
    <w:p>
      <w:pPr>
        <w:pStyle w:val="Heading2"/>
      </w:pPr>
      <w:r>
        <w:t xml:space="preserve">VII. Conclusion</w:t>
      </w:r>
    </w:p>
    <w:p>
      <w:pPr>
        <w:pStyle w:val="FirstParagraph"/>
      </w:pPr>
      <w:r>
        <w:t xml:space="preserve">This Sales Report underscores that in the United States San Francisco pharmacy market, the Pharmacist is not merely a dispensing professional but the central strategic asset driving revenue growth and patient outcomes. Our Q3 results—exceeding targets through Pharmacist innovation—demonstrate how clinical expertise directly translates to financial performance. As San Francisco continues to lead in healthcare innovation, pharmacies must deepen the Pharmacist's role in care coordination. The Pharmacist-led initiatives reported here have created a sustainable competitive advantage, positioning our San Francisco operations for 20% revenue growth in 2024.</w:t>
      </w:r>
    </w:p>
    <w:p>
      <w:pPr>
        <w:pStyle w:val="BodyText"/>
      </w:pPr>
      <w:r>
        <w:t xml:space="preserve">For continued success, we must maintain our focus on the unique needs of United States San Francisco residents while empowering each Pharmacist to drive patient-centered solutions. This Sales Report confirms that when the Pharmacist is recognized as a clinical leader—not just a prescription processor—the entire pharmacy business model transforms for sustainable growth in this demanding market.</w:t>
      </w:r>
    </w:p>
    <w:p>
      <w:pPr>
        <w:pStyle w:val="BodyText"/>
      </w:pPr>
      <w:r>
        <w:rPr>
          <w:bCs/>
          <w:b/>
        </w:rPr>
        <w:t xml:space="preserve">Prepared By:</w:t>
      </w:r>
      <w:r>
        <w:t xml:space="preserve"> </w:t>
      </w:r>
      <w:r>
        <w:t xml:space="preserve">Maria Chen, Director of Pharmacy Operations</w:t>
      </w:r>
      <w:r>
        <w:br/>
      </w:r>
      <w:r>
        <w:rPr>
          <w:bCs/>
          <w:b/>
        </w:rPr>
        <w:t xml:space="preserve">Pharmacy Network Headquarters:</w:t>
      </w:r>
      <w:r>
        <w:t xml:space="preserve"> </w:t>
      </w:r>
      <w:r>
        <w:t xml:space="preserve">San Francisco,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Performance Report: United States San Francisco</dc:title>
  <dc:creator/>
  <dc:language>en</dc:language>
  <cp:keywords/>
  <dcterms:created xsi:type="dcterms:W3CDTF">2026-07-23T22:17:35Z</dcterms:created>
  <dcterms:modified xsi:type="dcterms:W3CDTF">2026-07-23T22:17:35Z</dcterms:modified>
</cp:coreProperties>
</file>

<file path=docProps/custom.xml><?xml version="1.0" encoding="utf-8"?>
<Properties xmlns="http://schemas.openxmlformats.org/officeDocument/2006/custom-properties" xmlns:vt="http://schemas.openxmlformats.org/officeDocument/2006/docPropsVTypes"/>
</file>