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Pharmaceutical</w:t>
      </w:r>
      <w:r>
        <w:t xml:space="preserve"> </w:t>
      </w:r>
      <w:r>
        <w:t xml:space="preserve">Sales</w:t>
      </w:r>
      <w:r>
        <w:t xml:space="preserve"> </w:t>
      </w:r>
      <w:r>
        <w:t xml:space="preserve">Performance</w:t>
      </w:r>
      <w:r>
        <w:t xml:space="preserve"> </w:t>
      </w:r>
      <w:r>
        <w:t xml:space="preserve">Report:</w:t>
      </w:r>
      <w:r>
        <w:t xml:space="preserve"> </w:t>
      </w:r>
      <w:r>
        <w:t xml:space="preserve">Tashkent,</w:t>
      </w:r>
      <w:r>
        <w:t xml:space="preserve"> </w:t>
      </w:r>
      <w:r>
        <w:t xml:space="preserve">Uzbekistan</w:t>
      </w:r>
    </w:p>
    <w:bookmarkStart w:id="27" w:name="X2a420d6471f66360ad73916a4c72052c774b5a1"/>
    <w:p>
      <w:pPr>
        <w:pStyle w:val="Heading1"/>
      </w:pPr>
      <w:r>
        <w:t xml:space="preserve">Pharmaceutical Sales Performance Report</w:t>
      </w:r>
      <w:r>
        <w:br/>
      </w:r>
      <w:r>
        <w:t xml:space="preserve">for Pharmacist Operations in Tashkent, Uzbekistan</w:t>
      </w:r>
    </w:p>
    <w:p>
      <w:pPr>
        <w:pStyle w:val="FirstParagraph"/>
      </w:pPr>
      <w:r>
        <w:rPr>
          <w:bCs/>
          <w:b/>
        </w:rPr>
        <w:t xml:space="preserve">Prepared For:</w:t>
      </w:r>
      <w:r>
        <w:t xml:space="preserve"> </w:t>
      </w:r>
      <w:r>
        <w:t xml:space="preserve">Management Team, Pharmaceutical Distribution Network</w:t>
      </w:r>
      <w:r>
        <w:br/>
      </w:r>
      <w:r>
        <w:rPr>
          <w:bCs/>
          <w:b/>
        </w:rPr>
        <w:t xml:space="preserve">Date Prepared:</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Location:</w:t>
      </w:r>
      <w:r>
        <w:t xml:space="preserve"> </w:t>
      </w:r>
      <w:r>
        <w:t xml:space="preserve">Tashkent City Pharmacies (Uzbekistan)</w:t>
      </w:r>
    </w:p>
    <w:bookmarkStart w:id="20" w:name="executive-summary"/>
    <w:p>
      <w:pPr>
        <w:pStyle w:val="Heading2"/>
      </w:pPr>
      <w:r>
        <w:t xml:space="preserve">Executive Summary</w:t>
      </w:r>
    </w:p>
    <w:p>
      <w:pPr>
        <w:pStyle w:val="FirstParagraph"/>
      </w:pPr>
      <w:r>
        <w:t xml:space="preserve">This comprehensive Sales Report details the pharmaceutical performance metrics of our pharmacy network across Uzbekistan Tashkent during Q3 2023. As a licensed Pharmacist operating within Uzbekistan's regulated healthcare ecosystem, we've achieved a 14.7% year-over-year sales growth despite regional economic fluctuations. The report underscores critical trends in medication demand, highlights operational successes by our Pharmacist teams, and provides actionable recommendations tailored to Tashkent's unique demographic and healthcare landscape.</w:t>
      </w:r>
    </w:p>
    <w:bookmarkEnd w:id="20"/>
    <w:bookmarkStart w:id="21" w:name="key-performance-indicators-q3-2023"/>
    <w:p>
      <w:pPr>
        <w:pStyle w:val="Heading2"/>
      </w:pPr>
      <w:r>
        <w:t xml:space="preserve">Key Performance Indicators (Q3 2023)</w:t>
      </w:r>
    </w:p>
    <w:p>
      <w:pPr>
        <w:pStyle w:val="FirstParagraph"/>
      </w:pPr>
      <w:r>
        <w:t xml:space="preserve">Performance Metric</w:t>
      </w:r>
    </w:p>
    <w:p>
      <w:pPr>
        <w:pStyle w:val="BodyText"/>
      </w:pPr>
      <w:r>
        <w:t xml:space="preserve">Q3 2023</w:t>
      </w:r>
    </w:p>
    <w:p>
      <w:pPr>
        <w:pStyle w:val="BodyText"/>
      </w:pPr>
      <w:r>
        <w:t xml:space="preserve">Prior Year (Q3 2022)</w:t>
      </w:r>
    </w:p>
    <w:p>
      <w:pPr>
        <w:pStyle w:val="BodyText"/>
      </w:pPr>
      <w:r>
        <w:t xml:space="preserve">YoY Change</w:t>
      </w:r>
    </w:p>
    <w:p>
      <w:pPr>
        <w:pStyle w:val="BodyText"/>
      </w:pPr>
      <w:r>
        <w:t xml:space="preserve">Total Sales Revenue (UZS)</w:t>
      </w:r>
    </w:p>
    <w:p>
      <w:pPr>
        <w:pStyle w:val="BodyText"/>
      </w:pPr>
      <w:r>
        <w:t xml:space="preserve">187,500,000</w:t>
      </w:r>
    </w:p>
    <w:p>
      <w:pPr>
        <w:pStyle w:val="BodyText"/>
      </w:pPr>
      <w:r>
        <w:t xml:space="preserve">163,250,000</w:t>
      </w:r>
    </w:p>
    <w:p>
      <w:pPr>
        <w:pStyle w:val="BodyText"/>
      </w:pPr>
      <w:r>
        <w:t xml:space="preserve">+14.7%</w:t>
      </w:r>
    </w:p>
    <w:p>
      <w:pPr>
        <w:pStyle w:val="BodyText"/>
      </w:pPr>
      <w:r>
        <w:t xml:space="preserve">Average Daily Transactions</w:t>
      </w:r>
    </w:p>
    <w:p>
      <w:pPr>
        <w:pStyle w:val="BodyText"/>
      </w:pPr>
      <w:r>
        <w:t xml:space="preserve">428</w:t>
      </w:r>
    </w:p>
    <w:p>
      <w:pPr>
        <w:pStyle w:val="BodyText"/>
      </w:pPr>
      <w:r>
        <w:t xml:space="preserve">365</w:t>
      </w:r>
    </w:p>
    <w:p>
      <w:pPr>
        <w:pStyle w:val="BodyText"/>
      </w:pPr>
      <w:r>
        <w:t xml:space="preserve">+17.3%</w:t>
      </w:r>
    </w:p>
    <w:p>
      <w:pPr>
        <w:pStyle w:val="BodyText"/>
      </w:pPr>
      <w:r>
        <w:t xml:space="preserve">Prescription Medication Sales %</w:t>
      </w:r>
    </w:p>
    <w:p>
      <w:pPr>
        <w:pStyle w:val="BodyText"/>
      </w:pPr>
      <w:r>
        <w:t xml:space="preserve">68%</w:t>
      </w:r>
    </w:p>
    <w:p>
      <w:pPr>
        <w:pStyle w:val="BodyText"/>
      </w:pPr>
      <w:r>
        <w:t xml:space="preserve">62%</w:t>
      </w:r>
    </w:p>
    <w:p>
      <w:pPr>
        <w:pStyle w:val="BodyText"/>
      </w:pPr>
      <w:r>
        <w:t xml:space="preserve">+6 percentage points</w:t>
      </w:r>
    </w:p>
    <w:p>
      <w:pPr>
        <w:pStyle w:val="BodyText"/>
      </w:pPr>
      <w:r>
        <w:t xml:space="preserve">Top 5 High-Demand Product Categories (by Revenue)</w:t>
      </w:r>
    </w:p>
    <w:p>
      <w:pPr>
        <w:pStyle w:val="BodyText"/>
      </w:pPr>
      <w:r>
        <w:t xml:space="preserve">1. Cardiovascular Medications</w:t>
      </w:r>
    </w:p>
    <w:p>
      <w:pPr>
        <w:pStyle w:val="BodyText"/>
      </w:pPr>
      <w:r>
        <w:t xml:space="preserve">28.4%</w:t>
      </w:r>
    </w:p>
    <w:p>
      <w:pPr>
        <w:pStyle w:val="BodyText"/>
      </w:pPr>
      <w:r>
        <w:t xml:space="preserve">25.1%</w:t>
      </w:r>
    </w:p>
    <w:p>
      <w:pPr>
        <w:pStyle w:val="BodyText"/>
      </w:pPr>
      <w:r>
        <w:t xml:space="preserve">2. Diabetes Management</w:t>
      </w:r>
    </w:p>
    <w:p>
      <w:pPr>
        <w:pStyle w:val="BodyText"/>
      </w:pPr>
      <w:r>
        <w:t xml:space="preserve">21.7%</w:t>
      </w:r>
    </w:p>
    <w:p>
      <w:pPr>
        <w:pStyle w:val="BodyText"/>
      </w:pPr>
      <w:r>
        <w:t xml:space="preserve">19.3%</w:t>
      </w:r>
    </w:p>
    <w:p>
      <w:pPr>
        <w:pStyle w:val="BodyText"/>
      </w:pPr>
      <w:r>
        <w:t xml:space="preserve">3. Antibiotics &amp; Anti-inflammatories</w:t>
      </w:r>
    </w:p>
    <w:p>
      <w:pPr>
        <w:pStyle w:val="BodyText"/>
      </w:pPr>
      <w:r>
        <w:t xml:space="preserve">Tashkent's growing elderly population and seasonal respiratory illnesses drove significant demand for these categories during our Q3 Sales Report analysis.</w:t>
      </w:r>
    </w:p>
    <w:bookmarkEnd w:id="21"/>
    <w:bookmarkStart w:id="22" w:name="Xf4c62394188dda66c9e952d06a8e3caebd0d8b4"/>
    <w:p>
      <w:pPr>
        <w:pStyle w:val="Heading2"/>
      </w:pPr>
      <w:r>
        <w:t xml:space="preserve">Market Analysis: Tashkent's Pharmaceutical Landscape</w:t>
      </w:r>
    </w:p>
    <w:p>
      <w:pPr>
        <w:pStyle w:val="FirstParagraph"/>
      </w:pPr>
      <w:r>
        <w:t xml:space="preserve">The Uzbekistan Tashkent market continues to demonstrate resilience in pharmaceutical consumption, with the city's population of 3 million driving consistent medication needs. Our Pharmacist team observed a notable shift toward chronic disease management products following Uzbekistan's recent National Health Strategy 2030 implementation. The sales data reveals that</w:t>
      </w:r>
      <w:r>
        <w:t xml:space="preserve"> </w:t>
      </w:r>
      <w:r>
        <w:rPr>
          <w:bCs/>
          <w:b/>
        </w:rPr>
        <w:t xml:space="preserve">65% of prescription refills</w:t>
      </w:r>
      <w:r>
        <w:t xml:space="preserve"> </w:t>
      </w:r>
      <w:r>
        <w:t xml:space="preserve">in Tashkent stem from patients managing conditions like hypertension and type 2 diabetes – reflecting both population aging trends and improved healthcare access across Uzbekistan.</w:t>
      </w:r>
    </w:p>
    <w:p>
      <w:pPr>
        <w:pStyle w:val="BodyText"/>
      </w:pPr>
      <w:r>
        <w:t xml:space="preserve">Geographical analysis shows strong performance in urban districts (Mirobod, Chilanzar) while emerging demand exists in new residential zones (Sergeli, Uchtepa). This aligns with Uzbekistan's urbanization rate of 57% and Tashkent's status as the nation's healthcare hub. Notably, over 32% of our sales growth came from women aged 45-60 – a demographic increasingly managing chronic conditions with greater awareness, thanks to recent government health education campaigns.</w:t>
      </w:r>
    </w:p>
    <w:bookmarkEnd w:id="22"/>
    <w:bookmarkStart w:id="23" w:name="pharmacist-driven-operational-successes"/>
    <w:p>
      <w:pPr>
        <w:pStyle w:val="Heading2"/>
      </w:pPr>
      <w:r>
        <w:t xml:space="preserve">Pharmacist-Driven Operational Successes</w:t>
      </w:r>
    </w:p>
    <w:p>
      <w:pPr>
        <w:pStyle w:val="FirstParagraph"/>
      </w:pPr>
      <w:r>
        <w:rPr>
          <w:bCs/>
          <w:b/>
        </w:rPr>
        <w:t xml:space="preserve">Strategic Initiative:</w:t>
      </w:r>
      <w:r>
        <w:t xml:space="preserve"> </w:t>
      </w:r>
      <w:r>
        <w:t xml:space="preserve">Implementation of "Medication Adherence Counseling" by our Pharmacist staff</w:t>
      </w:r>
      <w:r>
        <w:br/>
      </w:r>
      <w:r>
        <w:rPr>
          <w:bCs/>
          <w:b/>
        </w:rPr>
        <w:t xml:space="preserve">Impact:</w:t>
      </w:r>
      <w:r>
        <w:t xml:space="preserve"> </w:t>
      </w:r>
      <w:r>
        <w:t xml:space="preserve">41% increase in prescription refill rates and 27% reduction in medication-related patient inquiries. In Tashkent's dense urban environment, this personalized service has become a key differentiator. Our Pharmacist teams now conduct brief post-purchase consultations addressing proper usage, side effects, and cost-saving options – directly contributing to the 14.7% revenue growth while improving patient outcomes in Uzbekistan's healthcare system.</w:t>
      </w:r>
    </w:p>
    <w:p>
      <w:pPr>
        <w:pStyle w:val="BodyText"/>
      </w:pPr>
      <w:r>
        <w:t xml:space="preserve">Additionally, our digital integration efforts have proven vital for Tashkent operations. The mobile pharmacy ordering platform (integrated with Uzbekistan's national e-health system) reduced prescription processing time by 58% and increased online sales by 22% among tech-savvy patients in Tashkent's younger demographics. This aligns with Uzbekistan's National Digital Strategy, positioning our Pharmacist-led teams at the forefront of pharmaceutical innovation.</w:t>
      </w:r>
    </w:p>
    <w:bookmarkEnd w:id="23"/>
    <w:bookmarkStart w:id="24" w:name="key-challenges-in-uzbekistan-tashkent"/>
    <w:p>
      <w:pPr>
        <w:pStyle w:val="Heading2"/>
      </w:pPr>
      <w:r>
        <w:t xml:space="preserve">Key Challenges in Uzbekistan Tashkent</w:t>
      </w:r>
    </w:p>
    <w:p>
      <w:pPr>
        <w:pStyle w:val="FirstParagraph"/>
      </w:pPr>
      <w:r>
        <w:t xml:space="preserve">Despite strong performance, our Pharmacist teams face persistent challenges specific to Tashkent's market:</w:t>
      </w:r>
    </w:p>
    <w:p>
      <w:pPr>
        <w:numPr>
          <w:ilvl w:val="0"/>
          <w:numId w:val="1001"/>
        </w:numPr>
        <w:pStyle w:val="Compact"/>
      </w:pPr>
      <w:r>
        <w:rPr>
          <w:bCs/>
          <w:b/>
        </w:rPr>
        <w:t xml:space="preserve">Supply Chain Volatility:</w:t>
      </w:r>
      <w:r>
        <w:t xml:space="preserve"> </w:t>
      </w:r>
      <w:r>
        <w:t xml:space="preserve">Import dependencies on Russian and Chinese manufacturers led to 12% stockouts for certain antibiotics during August, directly impacting sales opportunities as reported in our Sales Report.</w:t>
      </w:r>
    </w:p>
    <w:p>
      <w:pPr>
        <w:numPr>
          <w:ilvl w:val="0"/>
          <w:numId w:val="1001"/>
        </w:numPr>
        <w:pStyle w:val="Compact"/>
      </w:pPr>
      <w:r>
        <w:rPr>
          <w:bCs/>
          <w:b/>
        </w:rPr>
        <w:t xml:space="preserve">Regulatory Compliance Pressures:</w:t>
      </w:r>
      <w:r>
        <w:t xml:space="preserve"> </w:t>
      </w:r>
      <w:r>
        <w:t xml:space="preserve">Uzbekistan's Ministry of Health recently mandated enhanced electronic record-keeping for prescription medications. While crucial for patient safety, this increased documentation workload by 25% for Tashkent Pharmacist staff.</w:t>
      </w:r>
    </w:p>
    <w:p>
      <w:pPr>
        <w:numPr>
          <w:ilvl w:val="0"/>
          <w:numId w:val="1001"/>
        </w:numPr>
        <w:pStyle w:val="Compact"/>
      </w:pPr>
      <w:r>
        <w:rPr>
          <w:bCs/>
          <w:b/>
        </w:rPr>
        <w:t xml:space="preserve">Economic Factors:</w:t>
      </w:r>
      <w:r>
        <w:t xml:space="preserve"> </w:t>
      </w:r>
      <w:r>
        <w:t xml:space="preserve">Rising energy costs and inflation in Uzbekistan have pressured consumer spending on non-essential medications, requiring our Pharmacist teams to develop more cost-effective treatment alternatives for patients.</w:t>
      </w:r>
    </w:p>
    <w:bookmarkEnd w:id="24"/>
    <w:bookmarkStart w:id="25" w:name="strategic-recommendations"/>
    <w:p>
      <w:pPr>
        <w:pStyle w:val="Heading2"/>
      </w:pPr>
      <w:r>
        <w:t xml:space="preserve">Strategic Recommendations</w:t>
      </w:r>
    </w:p>
    <w:p>
      <w:pPr>
        <w:pStyle w:val="FirstParagraph"/>
      </w:pPr>
      <w:r>
        <w:t xml:space="preserve">To sustain growth in Tashkent's competitive pharmaceutical market, we propose:</w:t>
      </w:r>
    </w:p>
    <w:p>
      <w:pPr>
        <w:numPr>
          <w:ilvl w:val="0"/>
          <w:numId w:val="1002"/>
        </w:numPr>
        <w:pStyle w:val="Compact"/>
      </w:pPr>
      <w:r>
        <w:rPr>
          <w:bCs/>
          <w:b/>
        </w:rPr>
        <w:t xml:space="preserve">Local Sourcing Initiative:</w:t>
      </w:r>
      <w:r>
        <w:t xml:space="preserve"> </w:t>
      </w:r>
      <w:r>
        <w:t xml:space="preserve">Partner with Uzbekistan's new national pharmaceutical manufacturer "O'zbekfarm" to secure 30% of high-demand products locally by Q2 2024, reducing import dependency and supporting Uzbekistan's economic development goals.</w:t>
      </w:r>
    </w:p>
    <w:p>
      <w:pPr>
        <w:numPr>
          <w:ilvl w:val="0"/>
          <w:numId w:val="1002"/>
        </w:numPr>
        <w:pStyle w:val="Compact"/>
      </w:pPr>
      <w:r>
        <w:rPr>
          <w:bCs/>
          <w:b/>
        </w:rPr>
        <w:t xml:space="preserve">Pharmacist Training Enhancement:</w:t>
      </w:r>
      <w:r>
        <w:t xml:space="preserve"> </w:t>
      </w:r>
      <w:r>
        <w:t xml:space="preserve">Implement bi-annual certification programs focused on chronic disease management (aligned with Uzbekistan's National Health Strategy) to deepen clinical expertise of our Pharmacist staff in Tashkent.</w:t>
      </w:r>
    </w:p>
    <w:p>
      <w:pPr>
        <w:numPr>
          <w:ilvl w:val="0"/>
          <w:numId w:val="1002"/>
        </w:numPr>
        <w:pStyle w:val="Compact"/>
      </w:pPr>
      <w:r>
        <w:rPr>
          <w:bCs/>
          <w:b/>
        </w:rPr>
        <w:t xml:space="preserve">Digital Patient Engagement:</w:t>
      </w:r>
      <w:r>
        <w:t xml:space="preserve"> </w:t>
      </w:r>
      <w:r>
        <w:t xml:space="preserve">Develop a Uzbeke-language SMS reminder system for medication adherence – addressing Tashkent's low smartphone penetration among elderly patients while leveraging existing telecom infrastructure in Uzbekistan.</w:t>
      </w:r>
    </w:p>
    <w:bookmarkEnd w:id="25"/>
    <w:bookmarkStart w:id="26" w:name="conclusion"/>
    <w:p>
      <w:pPr>
        <w:pStyle w:val="Heading2"/>
      </w:pPr>
      <w:r>
        <w:t xml:space="preserve">Conclusion</w:t>
      </w:r>
    </w:p>
    <w:p>
      <w:pPr>
        <w:pStyle w:val="FirstParagraph"/>
      </w:pPr>
      <w:r>
        <w:t xml:space="preserve">This Sales Report confirms that our Pharmacist-led operations in Uzbekistan Tashkent are not only meeting but exceeding regional performance benchmarks. The 14.7% revenue growth demonstrates the critical value of our trained Pharmacist teams in navigating Uzbekistan's evolving healthcare landscape. As Uzbekistan continues its healthcare modernization under the National Health Strategy 2030, our pharmacy network is positioned to become a cornerstone of accessible medication services across Tashkent.</w:t>
      </w:r>
    </w:p>
    <w:p>
      <w:pPr>
        <w:pStyle w:val="BodyText"/>
      </w:pPr>
      <w:r>
        <w:t xml:space="preserve">Crucially, this success stems from empowering our Pharmacist professionals to act as clinical advisors – not just dispensers. In Uzbekistan's context, where pharmaceutical access remains uneven outside major cities, our Tashkent pharmacies serve as vital community health hubs. Future growth must balance commercial objectives with our social responsibility to improve medication accessibility across Uzbekistan's population.</w:t>
      </w:r>
    </w:p>
    <w:p>
      <w:pPr>
        <w:pStyle w:val="BodyText"/>
      </w:pPr>
      <w:r>
        <w:t xml:space="preserve">Pharmaceutical Sales Report • Prepared for Uzbekistan Healthcare Management • Tashkent, Uzbekistan | Confidential</w:t>
      </w:r>
    </w:p>
    <w:p>
      <w:pPr>
        <w:pStyle w:val="BodyText"/>
      </w:pPr>
      <w:r>
        <w:t xml:space="preserve">This document complies with the Pharmacy Act of Uzbekistan (No. 359-IV) and Ministry of Health regulations regarding pharmaceutical sales reporting.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Pharmaceutical Sales Performance Report: Tashkent, Uzbekistan</dc:title>
  <dc:creator/>
  <dc:language>en</dc:language>
  <cp:keywords/>
  <dcterms:created xsi:type="dcterms:W3CDTF">2026-07-23T19:19:37Z</dcterms:created>
  <dcterms:modified xsi:type="dcterms:W3CDTF">2026-07-23T19:19:37Z</dcterms:modified>
</cp:coreProperties>
</file>

<file path=docProps/custom.xml><?xml version="1.0" encoding="utf-8"?>
<Properties xmlns="http://schemas.openxmlformats.org/officeDocument/2006/custom-properties" xmlns:vt="http://schemas.openxmlformats.org/officeDocument/2006/docPropsVTypes"/>
</file>