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Miami,</w:t>
      </w:r>
      <w:r>
        <w:t xml:space="preserve"> </w:t>
      </w:r>
      <w:r>
        <w:t xml:space="preserve">United</w:t>
      </w:r>
      <w:r>
        <w:t xml:space="preserve"> </w:t>
      </w:r>
      <w:r>
        <w:t xml:space="preserve">States</w:t>
      </w:r>
    </w:p>
    <w:bookmarkStart w:id="33" w:name="X346caf689501c763845ae3b59ac7a17d148fea3"/>
    <w:p>
      <w:pPr>
        <w:pStyle w:val="Heading1"/>
      </w:pPr>
      <w:r>
        <w:t xml:space="preserve">2023 Q4 Sales Report: Premium Photography Services in United States Miami</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across the vibrant market of United States Miami. As one of the most dynamic and visually rich urban centers in America, Miami offers unparalleled opportunities for professional photographers. The report covers a successful quarter (October-December 2023) with notable growth in client acquisition, revenue streams, and strategic market positioning. Our Photographer team has solidified its reputation as a leader in capturing Miami's unique cultural essence while driving sustainable business growth.</w:t>
      </w:r>
    </w:p>
    <w:bookmarkEnd w:id="20"/>
    <w:bookmarkStart w:id="21" w:name="market-context-why-united-states-miami"/>
    <w:p>
      <w:pPr>
        <w:pStyle w:val="Heading2"/>
      </w:pPr>
      <w:r>
        <w:t xml:space="preserve">Market Context: Why United States Miami?</w:t>
      </w:r>
    </w:p>
    <w:p>
      <w:pPr>
        <w:pStyle w:val="FirstParagraph"/>
      </w:pPr>
      <w:r>
        <w:t xml:space="preserve">Miami's status as a global tourism hub, luxury real estate epicenter, and multicultural melting pot creates an exceptional ecosystem for photography businesses. With over 15 million annual visitors and a thriving local market of affluent residents, the demand for professional photography services has surged by 24% year-over-year in the United States. As this Sales Report confirms, Miami's unique blend of beaches, art deco architecture, Latin American influences, and high-net-worth individuals generates consistent demand for specialized photography services. Our Photographer team strategically targets these segments through tailored service packages that reflect Miami's distinct identity.</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Q4 2023</w:t>
            </w:r>
          </w:p>
        </w:tc>
        <w:tc>
          <w:tcPr/>
          <w:p>
            <w:pPr>
              <w:pStyle w:val="Compact"/>
              <w:jc w:val="left"/>
            </w:pPr>
            <w:r>
              <w:t xml:space="preserve">Q3 2023</w:t>
            </w:r>
          </w:p>
        </w:tc>
        <w:tc>
          <w:tcPr/>
          <w:p>
            <w:pPr>
              <w:pStyle w:val="Compact"/>
              <w:jc w:val="left"/>
            </w:pPr>
            <w:r>
              <w:t xml:space="preserve">YOY Growth</w:t>
            </w:r>
          </w:p>
        </w:tc>
      </w:tr>
      <w:tr>
        <w:tc>
          <w:tcPr/>
          <w:p>
            <w:pPr>
              <w:pStyle w:val="Compact"/>
              <w:jc w:val="left"/>
            </w:pPr>
            <w:r>
              <w:t xml:space="preserve">Total Revenue ($)</w:t>
            </w:r>
          </w:p>
        </w:tc>
        <w:tc>
          <w:tcPr/>
          <w:p>
            <w:pPr>
              <w:pStyle w:val="Compact"/>
              <w:jc w:val="left"/>
            </w:pPr>
            <w:r>
              <w:t xml:space="preserve">$187,500</w:t>
            </w:r>
          </w:p>
        </w:tc>
        <w:tc>
          <w:tcPr/>
          <w:p>
            <w:pPr>
              <w:pStyle w:val="Compact"/>
              <w:jc w:val="left"/>
            </w:pPr>
            <w:r>
              <w:t xml:space="preserve">$142,300</w:t>
            </w:r>
          </w:p>
        </w:tc>
        <w:tc>
          <w:tcPr/>
          <w:p>
            <w:pPr>
              <w:pStyle w:val="Compact"/>
              <w:jc w:val="left"/>
            </w:pPr>
            <w:r>
              <w:t xml:space="preserve">31.7%</w:t>
            </w:r>
          </w:p>
        </w:tc>
      </w:tr>
      <w:tr>
        <w:tc>
          <w:tcPr/>
          <w:p>
            <w:pPr>
              <w:pStyle w:val="Compact"/>
              <w:jc w:val="left"/>
            </w:pPr>
            <w:r>
              <w:t xml:space="preserve">New Clients Acquired</w:t>
            </w:r>
          </w:p>
        </w:tc>
        <w:tc>
          <w:tcPr/>
          <w:p>
            <w:pPr>
              <w:pStyle w:val="Compact"/>
              <w:jc w:val="left"/>
            </w:pPr>
            <w:r>
              <w:t xml:space="preserve">87</w:t>
            </w:r>
          </w:p>
        </w:tc>
        <w:tc>
          <w:tcPr/>
          <w:p>
            <w:pPr>
              <w:pStyle w:val="Compact"/>
              <w:jc w:val="left"/>
            </w:pPr>
            <w:r>
              <w:t xml:space="preserve">62</w:t>
            </w:r>
          </w:p>
        </w:tc>
        <w:tc>
          <w:tcPr/>
          <w:p>
            <w:pPr>
              <w:pStyle w:val="Compact"/>
              <w:jc w:val="left"/>
            </w:pPr>
            <w:r>
              <w:t xml:space="preserve">40.3%</w:t>
            </w:r>
          </w:p>
        </w:tc>
      </w:tr>
      <w:tr>
        <w:tc>
          <w:tcPr/>
          <w:p>
            <w:pPr>
              <w:pStyle w:val="Compact"/>
              <w:jc w:val="left"/>
            </w:pPr>
            <w:r>
              <w:t xml:space="preserve">Average Deal Size ($)</w:t>
            </w:r>
          </w:p>
        </w:tc>
        <w:tc>
          <w:tcPr/>
          <w:p>
            <w:pPr>
              <w:pStyle w:val="Compact"/>
              <w:jc w:val="left"/>
            </w:pPr>
            <w:r>
              <w:t xml:space="preserve">$2,155</w:t>
            </w:r>
          </w:p>
        </w:tc>
        <w:tc>
          <w:tcPr/>
          <w:p>
            <w:pPr>
              <w:pStyle w:val="Compact"/>
              <w:jc w:val="left"/>
            </w:pPr>
            <w:r>
              <w:t xml:space="preserve">$1,980</w:t>
            </w:r>
          </w:p>
        </w:tc>
        <w:tc>
          <w:tcPr/>
          <w:p>
            <w:pPr>
              <w:pStyle w:val="Compact"/>
              <w:jc w:val="left"/>
            </w:pPr>
            <w:r>
              <w:t xml:space="preserve">8.8%</w:t>
            </w:r>
          </w:p>
        </w:tc>
      </w:tr>
      <w:tr>
        <w:tc>
          <w:tcPr/>
          <w:p>
            <w:pPr>
              <w:pStyle w:val="Compact"/>
              <w:jc w:val="left"/>
            </w:pPr>
            <w:r>
              <w:t xml:space="preserve">Social Media Conversion Rate</w:t>
            </w:r>
          </w:p>
        </w:tc>
        <w:tc>
          <w:tcPr/>
          <w:p>
            <w:pPr>
              <w:pStyle w:val="Compact"/>
              <w:jc w:val="left"/>
            </w:pPr>
            <w:r>
              <w:t xml:space="preserve">14.2%</w:t>
            </w:r>
          </w:p>
        </w:tc>
        <w:tc>
          <w:tcPr/>
          <w:p>
            <w:pPr>
              <w:pStyle w:val="Compact"/>
              <w:jc w:val="left"/>
            </w:pPr>
            <w:r>
              <w:t xml:space="preserve">9.7%</w:t>
            </w:r>
          </w:p>
        </w:tc>
        <w:tc>
          <w:tcPr/>
          <w:p>
            <w:pPr>
              <w:pStyle w:val="Compact"/>
              <w:jc w:val="left"/>
            </w:pPr>
            <w:r>
              <w:t xml:space="preserve">46.4%</w:t>
            </w:r>
          </w:p>
        </w:tc>
      </w:tr>
    </w:tbl>
    <w:bookmarkEnd w:id="22"/>
    <w:bookmarkStart w:id="26" w:name="client-segmentation-revenue-drivers"/>
    <w:p>
      <w:pPr>
        <w:pStyle w:val="Heading2"/>
      </w:pPr>
      <w:r>
        <w:t xml:space="preserve">Client Segmentation &amp; Revenue Drivers</w:t>
      </w:r>
    </w:p>
    <w:p>
      <w:pPr>
        <w:pStyle w:val="FirstParagraph"/>
      </w:pPr>
      <w:r>
        <w:t xml:space="preserve">The Sales Report reveals three dominant client segments fueling our success in United States Miami:</w:t>
      </w:r>
    </w:p>
    <w:bookmarkStart w:id="23" w:name="X41a3760823ec2b0f6504875d18c495c43de45e5"/>
    <w:p>
      <w:pPr>
        <w:pStyle w:val="Heading3"/>
      </w:pPr>
      <w:r>
        <w:t xml:space="preserve">1. Luxury Real Estate Photography (48% of Revenue)</w:t>
      </w:r>
    </w:p>
    <w:p>
      <w:pPr>
        <w:pStyle w:val="FirstParagraph"/>
      </w:pPr>
      <w:r>
        <w:t xml:space="preserve">Working with top-tier firms like Keller Williams and Compass, our Photographer team delivers immersive property visuals that showcase Miami's luxury waterfront estates and Art Deco gems. The Q4 2023 campaign featuring "Miami Sunset Properties" generated $89,000 in revenue, a 37% increase from the previous quarter. This segment benefits from Miami's booming real estate market where premium properties command 15-25% higher prices with professional photography.</w:t>
      </w:r>
    </w:p>
    <w:bookmarkEnd w:id="23"/>
    <w:bookmarkStart w:id="24" w:name="wedding-event-photography-32-of-revenue"/>
    <w:p>
      <w:pPr>
        <w:pStyle w:val="Heading3"/>
      </w:pPr>
      <w:r>
        <w:t xml:space="preserve">2. Wedding &amp; Event Photography (32% of Revenue)</w:t>
      </w:r>
    </w:p>
    <w:p>
      <w:pPr>
        <w:pStyle w:val="FirstParagraph"/>
      </w:pPr>
      <w:r>
        <w:t xml:space="preserve">Miami's status as a global wedding destination drove exceptional results. Our "South Beach Romance" package—featuring beach ceremonies, Art Deco venues, and cultural fusion weddings—secured 41 bookings at an average $3,850 per event. This segment accounts for 62% of new client acquisition in Miami due to the city's 28% year-over-year increase in wedding tourism.</w:t>
      </w:r>
    </w:p>
    <w:bookmarkEnd w:id="24"/>
    <w:bookmarkStart w:id="25" w:name="X41d5ee94d744d4b0194765b55760f241cf4dd7e"/>
    <w:p>
      <w:pPr>
        <w:pStyle w:val="Heading3"/>
      </w:pPr>
      <w:r>
        <w:t xml:space="preserve">3. Corporate &amp; Brand Photography (20% of Revenue)</w:t>
      </w:r>
    </w:p>
    <w:p>
      <w:pPr>
        <w:pStyle w:val="FirstParagraph"/>
      </w:pPr>
      <w:r>
        <w:t xml:space="preserve">Local businesses like Wynwood Walls, Hard Rock Stadium, and major healthcare providers invest in authentic Miami storytelling. Our "Urban Pulse" corporate package—featuring diverse local talent against iconic Miami backdrops—generated $37,500 in Q4. This growth aligns with the 22% increase in corporate rebranding activity across South Florida.</w:t>
      </w:r>
    </w:p>
    <w:bookmarkEnd w:id="25"/>
    <w:bookmarkEnd w:id="26"/>
    <w:bookmarkStart w:id="27" w:name="X2f68600ee5e42a983837b316bf93c6f770aeac1"/>
    <w:p>
      <w:pPr>
        <w:pStyle w:val="Heading2"/>
      </w:pPr>
      <w:r>
        <w:t xml:space="preserve">Marketing Strategy Success: Miami-Centric Approach</w:t>
      </w:r>
    </w:p>
    <w:p>
      <w:pPr>
        <w:pStyle w:val="FirstParagraph"/>
      </w:pPr>
      <w:r>
        <w:t xml:space="preserve">Our Photographer team executed hyper-localized marketing that resonated deeply with Miami's cultural landscape. Key initiatives included:</w:t>
      </w:r>
    </w:p>
    <w:p>
      <w:pPr>
        <w:numPr>
          <w:ilvl w:val="0"/>
          <w:numId w:val="1001"/>
        </w:numPr>
        <w:pStyle w:val="Compact"/>
      </w:pPr>
      <w:r>
        <w:rPr>
          <w:bCs/>
          <w:b/>
        </w:rPr>
        <w:t xml:space="preserve">Wynwood Wall Partnership:</w:t>
      </w:r>
      <w:r>
        <w:t xml:space="preserve"> </w:t>
      </w:r>
      <w:r>
        <w:t xml:space="preserve">Exclusive photo opportunities at the world-famous art district generated 158 qualified leads through Instagram collaborations</w:t>
      </w:r>
    </w:p>
    <w:p>
      <w:pPr>
        <w:numPr>
          <w:ilvl w:val="0"/>
          <w:numId w:val="1001"/>
        </w:numPr>
        <w:pStyle w:val="Compact"/>
      </w:pPr>
      <w:r>
        <w:rPr>
          <w:bCs/>
          <w:b/>
        </w:rPr>
        <w:t xml:space="preserve">Spanish-Language Content:</w:t>
      </w:r>
      <w:r>
        <w:t xml:space="preserve"> </w:t>
      </w:r>
      <w:r>
        <w:t xml:space="preserve">Targeting Miami's 70% Spanish-speaking population with bilingual social media ads increased conversion rates by 29%</w:t>
      </w:r>
    </w:p>
    <w:p>
      <w:pPr>
        <w:numPr>
          <w:ilvl w:val="0"/>
          <w:numId w:val="1001"/>
        </w:numPr>
        <w:pStyle w:val="Compact"/>
      </w:pPr>
      <w:r>
        <w:rPr>
          <w:bCs/>
          <w:b/>
        </w:rPr>
        <w:t xml:space="preserve">Beachfront Pop-Up Studios:</w:t>
      </w:r>
      <w:r>
        <w:t xml:space="preserve"> </w:t>
      </w:r>
      <w:r>
        <w:t xml:space="preserve">Weekend photo sessions at South Beach and Crandon Park attracted 127 walk-in clients with instant digital previews</w:t>
      </w:r>
    </w:p>
    <w:bookmarkEnd w:id="27"/>
    <w:bookmarkStart w:id="30" w:name="challenges-strategic-solutions"/>
    <w:p>
      <w:pPr>
        <w:pStyle w:val="Heading2"/>
      </w:pPr>
      <w:r>
        <w:t xml:space="preserve">Challenges &amp; Strategic Solutions</w:t>
      </w:r>
    </w:p>
    <w:p>
      <w:pPr>
        <w:pStyle w:val="FirstParagraph"/>
      </w:pPr>
      <w:r>
        <w:t xml:space="preserve">The Sales Report identifies two critical challenges specific to Miami's market:</w:t>
      </w:r>
    </w:p>
    <w:bookmarkStart w:id="28" w:name="X8999a73b30662f026ea46cb1b581d0db9de5ec0"/>
    <w:p>
      <w:pPr>
        <w:pStyle w:val="Heading3"/>
      </w:pPr>
      <w:r>
        <w:t xml:space="preserve">1. Seasonal Fluctuations (Hurricane Season Impact)</w:t>
      </w:r>
    </w:p>
    <w:p>
      <w:pPr>
        <w:pStyle w:val="FirstParagraph"/>
      </w:pPr>
      <w:r>
        <w:t xml:space="preserve">Miami's weather patterns traditionally cause 15-20% revenue dips in summer. Our solution: Created "Miami Monsoon" package offering indoor studio sessions with curated cityscape backdrops during rainy periods, maintaining 92% quarterly consistency.</w:t>
      </w:r>
    </w:p>
    <w:bookmarkEnd w:id="28"/>
    <w:bookmarkStart w:id="29" w:name="premium-competition"/>
    <w:p>
      <w:pPr>
        <w:pStyle w:val="Heading3"/>
      </w:pPr>
      <w:r>
        <w:t xml:space="preserve">2. Premium Competition</w:t>
      </w:r>
    </w:p>
    <w:p>
      <w:pPr>
        <w:pStyle w:val="FirstParagraph"/>
      </w:pPr>
      <w:r>
        <w:t xml:space="preserve">With over 800 active photography businesses in the Miami area, we differentiated through our "Miami Authenticity Guarantee" – requiring every Photographer to document at least one local cultural element per session (e.g., Cuban coffee culture, Caribbean art festivals).</w:t>
      </w:r>
    </w:p>
    <w:bookmarkEnd w:id="29"/>
    <w:bookmarkEnd w:id="30"/>
    <w:bookmarkStart w:id="31" w:name="future-outlook-strategic-recommendations"/>
    <w:p>
      <w:pPr>
        <w:pStyle w:val="Heading2"/>
      </w:pPr>
      <w:r>
        <w:t xml:space="preserve">Future Outlook &amp; Strategic Recommendations</w:t>
      </w:r>
    </w:p>
    <w:p>
      <w:pPr>
        <w:pStyle w:val="FirstParagraph"/>
      </w:pPr>
      <w:r>
        <w:t xml:space="preserve">This Sales Report projects 35% year-over-year growth for 2024 based on Miami's economic trajectory. Critical recommendations include:</w:t>
      </w:r>
    </w:p>
    <w:p>
      <w:pPr>
        <w:numPr>
          <w:ilvl w:val="0"/>
          <w:numId w:val="1002"/>
        </w:numPr>
        <w:pStyle w:val="Compact"/>
      </w:pPr>
      <w:r>
        <w:rPr>
          <w:bCs/>
          <w:b/>
        </w:rPr>
        <w:t xml:space="preserve">Expand Luxury Travel Photography:</w:t>
      </w:r>
      <w:r>
        <w:t xml:space="preserve"> </w:t>
      </w:r>
      <w:r>
        <w:t xml:space="preserve">Partner with JetBlue and private jet services to capture "Miami in Motion" travel content targeting international luxury travelers</w:t>
      </w:r>
    </w:p>
    <w:p>
      <w:pPr>
        <w:numPr>
          <w:ilvl w:val="0"/>
          <w:numId w:val="1002"/>
        </w:numPr>
        <w:pStyle w:val="Compact"/>
      </w:pPr>
      <w:r>
        <w:rPr>
          <w:bCs/>
          <w:b/>
        </w:rPr>
        <w:t xml:space="preserve">Develop AI-Powered Editing Suite:</w:t>
      </w:r>
      <w:r>
        <w:t xml:space="preserve"> </w:t>
      </w:r>
      <w:r>
        <w:t xml:space="preserve">Implement Miami-specific presets for coral reef lighting, sunset hues, and tropical foliage to speed up post-production by 30%</w:t>
      </w:r>
    </w:p>
    <w:p>
      <w:pPr>
        <w:numPr>
          <w:ilvl w:val="0"/>
          <w:numId w:val="1002"/>
        </w:numPr>
        <w:pStyle w:val="Compact"/>
      </w:pPr>
      <w:r>
        <w:rPr>
          <w:bCs/>
          <w:b/>
        </w:rPr>
        <w:t xml:space="preserve">Create Miami Cultural Series:</w:t>
      </w:r>
      <w:r>
        <w:t xml:space="preserve"> </w:t>
      </w:r>
      <w:r>
        <w:t xml:space="preserve">Launch "Miami Through the Lens" subscription series showcasing neighborhood stories (Little Havana, Edgewater, Coconut Grove) for recurring revenue</w:t>
      </w:r>
    </w:p>
    <w:bookmarkEnd w:id="31"/>
    <w:bookmarkStart w:id="32" w:name="conclusion-the-miami-advantage"/>
    <w:p>
      <w:pPr>
        <w:pStyle w:val="Heading2"/>
      </w:pPr>
      <w:r>
        <w:t xml:space="preserve">Conclusion: The Miami Advantage</w:t>
      </w:r>
    </w:p>
    <w:p>
      <w:pPr>
        <w:pStyle w:val="FirstParagraph"/>
      </w:pPr>
      <w:r>
        <w:t xml:space="preserve">This Sales Report unequivocally demonstrates that United States Miami is not just a market for our Photographer business – it's the catalyst driving our entire growth strategy. The city's unique convergence of culture, wealth, and visual appeal creates a self-sustaining ecosystem where premium photography services achieve exceptional ROI. Our team has transformed from local service provider to Miami photography authority through relentless focus on authentic local storytelling.</w:t>
      </w:r>
    </w:p>
    <w:p>
      <w:pPr>
        <w:pStyle w:val="BodyText"/>
      </w:pPr>
      <w:r>
        <w:t xml:space="preserve">As we move into 2024, our Photographer team will continue to leverage Miami's dynamic energy – turning every sunset at South Beach and every salsa beat in Little Havana into compelling visual narratives that generate revenue while celebrating the soul of United States Miami. The future of professional photography isn't just about capturing images; it's about capturing the heartbeat of a city. And in the vibrant landscape of United States Miami, our Photographer business is uniquely positioned to own that narrative.</w:t>
      </w:r>
    </w:p>
    <w:p>
      <w:pPr>
        <w:pStyle w:val="BodyText"/>
      </w:pPr>
      <w:r>
        <w:rPr>
          <w:iCs/>
          <w:i/>
        </w:rPr>
        <w:t xml:space="preserve">Prepared by: Premium Imaging Solutions | Sales Analytics Department | Miami,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Miami, United States</dc:title>
  <dc:creator/>
  <dc:language>en</dc:language>
  <cp:keywords/>
  <dcterms:created xsi:type="dcterms:W3CDTF">2026-07-24T16:52:46Z</dcterms:created>
  <dcterms:modified xsi:type="dcterms:W3CDTF">2026-07-24T16:52:46Z</dcterms:modified>
</cp:coreProperties>
</file>

<file path=docProps/custom.xml><?xml version="1.0" encoding="utf-8"?>
<Properties xmlns="http://schemas.openxmlformats.org/officeDocument/2006/custom-properties" xmlns:vt="http://schemas.openxmlformats.org/officeDocument/2006/docPropsVTypes"/>
</file>