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28" w:name="Xa56aa76efc0210fcc3570920b70e90cbd379970"/>
    <w:p>
      <w:pPr>
        <w:pStyle w:val="Heading1"/>
      </w:pPr>
      <w:r>
        <w:t xml:space="preserve">AUSTRALIA MELBOURNE PHYSICIST SALES REPORT</w:t>
      </w:r>
      <w:r>
        <w:br/>
      </w:r>
      <w:r>
        <w:t xml:space="preserve">Q3 2023 Performance &amp; Strategic Outlook</w:t>
      </w:r>
    </w:p>
    <w:p>
      <w:pPr>
        <w:pStyle w:val="FirstParagraph"/>
      </w:pPr>
      <w:r>
        <w:t xml:space="preserve">Prepared for Melbourne Science &amp; Engineering Consortium • October 26, 2023</w:t>
      </w:r>
    </w:p>
    <w:bookmarkStart w:id="20" w:name="executive-summary"/>
    <w:p>
      <w:pPr>
        <w:pStyle w:val="Heading2"/>
      </w:pPr>
      <w:r>
        <w:t xml:space="preserve">Executive Summary</w:t>
      </w:r>
    </w:p>
    <w:p>
      <w:pPr>
        <w:pStyle w:val="FirstParagraph"/>
      </w:pPr>
      <w:r>
        <w:t xml:space="preserve">This Sales Report details the performance of our physicist-led sales team across Australia Melbourne during Q3 2023. As a specialized physics-focused enterprise operating within Melbourne's premier research ecosystem, we achieved a</w:t>
      </w:r>
      <w:r>
        <w:t xml:space="preserve"> </w:t>
      </w:r>
      <w:r>
        <w:rPr>
          <w:bCs/>
          <w:b/>
        </w:rPr>
        <w:t xml:space="preserve">17.8% year-over-year growth</w:t>
      </w:r>
      <w:r>
        <w:t xml:space="preserve"> </w:t>
      </w:r>
      <w:r>
        <w:t xml:space="preserve">in technical instrumentation sales, significantly outperforming the Australian market average of 4.3%. The unique value proposition of our physicist team—combining deep technical expertise with client-centric solutions—has positioned us as the preferred partner for Melbourne's scientific institutions and advanced manufacturing enterprises. This report analyzes market dynamics, sales outcomes, and strategic imperatives for sustaining growth in Australia's most scientifically vibrant city.</w:t>
      </w:r>
    </w:p>
    <w:bookmarkEnd w:id="20"/>
    <w:bookmarkStart w:id="21" w:name="X06ca8a4e09cb1ae840072dd3147c5a8cde4ca48"/>
    <w:p>
      <w:pPr>
        <w:pStyle w:val="Heading2"/>
      </w:pPr>
      <w:r>
        <w:t xml:space="preserve">Market Context: Physics-Driven Demand in Melbourne</w:t>
      </w:r>
    </w:p>
    <w:p>
      <w:pPr>
        <w:pStyle w:val="FirstParagraph"/>
      </w:pPr>
      <w:r>
        <w:t xml:space="preserve">Melbourne's status as Australia's science capital (home to the Australian Synchrotron, CSIRO facilities, and University of Melbourne Physics Department) creates a unique sales landscape. The city accounts for 38% of Australia's physics research funding and hosts 15+ high-impact STEM startups annually. Our physicist sales representatives leverage this ecosystem understanding to address nuanced client needs—particularly in quantum computing R&amp;D (up 220% YoY), medical imaging innovation, and renewable energy materials development.</w:t>
      </w:r>
    </w:p>
    <w:p>
      <w:pPr>
        <w:pStyle w:val="BodyText"/>
      </w:pPr>
      <w:r>
        <w:t xml:space="preserve">Crucially, Melbourne's scientific community demands technical validation beyond standard sales pitches. A recent University of Melbourne survey revealed 89% of researchers prioritize physicist-led consultations when evaluating new instrumentation. This distinguishes our Australia Melbourne operations from generic equipment vendors. For instance, our physicist team recently secured a $1.2M contract with Monash University's Quantum Materials Lab by diagnosing a specific cryogenic measurement gap in their existing setup—a solution only feasible through domain expertise.</w:t>
      </w:r>
    </w:p>
    <w:bookmarkEnd w:id="21"/>
    <w:bookmarkStart w:id="24" w:name="q3-sales-performance-analysis"/>
    <w:p>
      <w:pPr>
        <w:pStyle w:val="Heading2"/>
      </w:pPr>
      <w:r>
        <w:t xml:space="preserve">Q3 Sales Performance Analysis</w:t>
      </w:r>
    </w:p>
    <w:bookmarkStart w:id="22" w:name="key-achievements"/>
    <w:p>
      <w:pPr>
        <w:pStyle w:val="Heading3"/>
      </w:pPr>
      <w:r>
        <w:t xml:space="preserve">Key Achievements</w:t>
      </w:r>
    </w:p>
    <w:p>
      <w:pPr>
        <w:numPr>
          <w:ilvl w:val="0"/>
          <w:numId w:val="1001"/>
        </w:numPr>
        <w:pStyle w:val="Compact"/>
      </w:pPr>
      <w:r>
        <w:rPr>
          <w:bCs/>
          <w:b/>
        </w:rPr>
        <w:t xml:space="preserve">147% Increase in High-Value Contracts:</w:t>
      </w:r>
      <w:r>
        <w:t xml:space="preserve"> </w:t>
      </w:r>
      <w:r>
        <w:t xml:space="preserve">Closed 28 deals exceeding $50,000 (vs. 12 in Q2), primarily driven by physicist consultations at Melbourne-based facilities like Peter MacCallum Cancer Centre and Melbourne Bioinformatics</w:t>
      </w:r>
    </w:p>
    <w:p>
      <w:pPr>
        <w:numPr>
          <w:ilvl w:val="0"/>
          <w:numId w:val="1001"/>
        </w:numPr>
        <w:pStyle w:val="Compact"/>
      </w:pPr>
      <w:r>
        <w:rPr>
          <w:bCs/>
          <w:b/>
        </w:rPr>
        <w:t xml:space="preserve">Client Retention Rate: 94%</w:t>
      </w:r>
      <w:r>
        <w:t xml:space="preserve"> </w:t>
      </w:r>
      <w:r>
        <w:t xml:space="preserve">(vs. industry average of 76%)—attributed to physicists' ability to identify iterative solution opportunities during technical support engagements</w:t>
      </w:r>
    </w:p>
    <w:p>
      <w:pPr>
        <w:numPr>
          <w:ilvl w:val="0"/>
          <w:numId w:val="1001"/>
        </w:numPr>
        <w:pStyle w:val="Compact"/>
      </w:pPr>
      <w:r>
        <w:rPr>
          <w:bCs/>
          <w:b/>
        </w:rPr>
        <w:t xml:space="preserve">Market Share Gain:</w:t>
      </w:r>
      <w:r>
        <w:t xml:space="preserve"> </w:t>
      </w:r>
      <w:r>
        <w:t xml:space="preserve">Increased from 18% to 26% in Melbourne's physics instrumentation segment through targeted physicist outreach at ARC-funded research projects</w:t>
      </w:r>
    </w:p>
    <w:bookmarkEnd w:id="22"/>
    <w:bookmarkStart w:id="23" w:name="X421bbce62cca4a9208c80f8a5adca5ead617753"/>
    <w:p>
      <w:pPr>
        <w:pStyle w:val="Heading3"/>
      </w:pPr>
      <w:r>
        <w:t xml:space="preserve">Geographic Sales Breakdown (Australia Melbourne Focus)</w:t>
      </w:r>
    </w:p>
    <w:p>
      <w:pPr>
        <w:pStyle w:val="FirstParagraph"/>
      </w:pPr>
      <w:r>
        <w:t xml:space="preserve">Client Sector</w:t>
      </w:r>
    </w:p>
    <w:p>
      <w:pPr>
        <w:pStyle w:val="BodyText"/>
      </w:pPr>
      <w:r>
        <w:t xml:space="preserve">Sales Value (Q3)</w:t>
      </w:r>
    </w:p>
    <w:p>
      <w:pPr>
        <w:pStyle w:val="BodyText"/>
      </w:pPr>
      <w:r>
        <w:t xml:space="preserve">Growth vs Q2</w:t>
      </w:r>
    </w:p>
    <w:p>
      <w:pPr>
        <w:pStyle w:val="BodyText"/>
      </w:pPr>
      <w:r>
        <w:t xml:space="preserve">Physicist-Driven Insight</w:t>
      </w:r>
    </w:p>
    <w:p>
      <w:pPr>
        <w:pStyle w:val="BodyText"/>
      </w:pPr>
      <w:r>
        <w:t xml:space="preserve">Universities (Monash, Melbourne, RMIT)</w:t>
      </w:r>
    </w:p>
    <w:p>
      <w:pPr>
        <w:pStyle w:val="BodyText"/>
      </w:pPr>
      <w:r>
        <w:t xml:space="preserve">$875,000</w:t>
      </w:r>
    </w:p>
    <w:p>
      <w:pPr>
        <w:pStyle w:val="BodyText"/>
      </w:pPr>
      <w:r>
        <w:t xml:space="preserve">+32.7%</w:t>
      </w:r>
    </w:p>
    <w:p>
      <w:pPr>
        <w:pStyle w:val="BodyText"/>
      </w:pPr>
      <w:r>
        <w:t xml:space="preserve">Customized cryogenics solutions for quantum experiments</w:t>
      </w:r>
    </w:p>
    <w:p>
      <w:pPr>
        <w:pStyle w:val="BodyText"/>
      </w:pPr>
      <w:r>
        <w:t xml:space="preserve">Healthcare Research (Peter Mac, Austin Hospital)</w:t>
      </w:r>
    </w:p>
    <w:p>
      <w:pPr>
        <w:pStyle w:val="BodyText"/>
      </w:pPr>
      <w:r>
        <w:t xml:space="preserve">$620,000</w:t>
      </w:r>
    </w:p>
    <w:p>
      <w:pPr>
        <w:pStyle w:val="BodyText"/>
      </w:pPr>
      <w:r>
        <w:t xml:space="preserve">+41.2%</w:t>
      </w:r>
    </w:p>
    <w:p>
      <w:pPr>
        <w:pStyle w:val="BodyText"/>
      </w:pPr>
      <w:r>
        <w:t xml:space="preserve">Physics-validated MRI enhancement systems for pediatric imaging</w:t>
      </w:r>
    </w:p>
    <w:p>
      <w:pPr>
        <w:pStyle w:val="BodyText"/>
      </w:pPr>
      <w:r>
        <w:t xml:space="preserve">Advanced Manufacturing (Tesla Australia, BAE Systems)</w:t>
      </w:r>
    </w:p>
    <w:p>
      <w:pPr>
        <w:pStyle w:val="BodyText"/>
      </w:pPr>
      <w:r>
        <w:t xml:space="preserve">$385,000</w:t>
      </w:r>
    </w:p>
    <w:p>
      <w:pPr>
        <w:pStyle w:val="BodyText"/>
      </w:pPr>
      <w:r>
        <w:t xml:space="preserve">+19.5%</w:t>
      </w:r>
    </w:p>
    <w:p>
      <w:pPr>
        <w:pStyle w:val="BodyText"/>
      </w:pPr>
      <w:r>
        <w:rPr>
          <w:iCs/>
          <w:i/>
          <w:bCs/>
          <w:b/>
        </w:rPr>
        <w:t xml:space="preserve">Materials science optimization for sustainable production lines</w:t>
      </w:r>
    </w:p>
    <w:bookmarkEnd w:id="23"/>
    <w:bookmarkEnd w:id="24"/>
    <w:bookmarkStart w:id="25" w:name="X6eb8959b234685c9737a4a23ebf0d8b10707afc"/>
    <w:p>
      <w:pPr>
        <w:pStyle w:val="Heading2"/>
      </w:pPr>
      <w:r>
        <w:t xml:space="preserve">Physicist Value Proposition in Melbourne Sales Strategy</w:t>
      </w:r>
    </w:p>
    <w:p>
      <w:pPr>
        <w:pStyle w:val="FirstParagraph"/>
      </w:pPr>
      <w:r>
        <w:t xml:space="preserve">Our success stems from embedding physicists directly into the sales process—not as afterthoughts but as primary solution architects. Unlike conventional sales teams, our Melbourne-based physicists:</w:t>
      </w:r>
    </w:p>
    <w:p>
      <w:pPr>
        <w:numPr>
          <w:ilvl w:val="0"/>
          <w:numId w:val="1002"/>
        </w:numPr>
        <w:pStyle w:val="Compact"/>
      </w:pPr>
      <w:r>
        <w:rPr>
          <w:bCs/>
          <w:b/>
        </w:rPr>
        <w:t xml:space="preserve">Decode Technical Pain Points:</w:t>
      </w:r>
      <w:r>
        <w:t xml:space="preserve"> </w:t>
      </w:r>
      <w:r>
        <w:t xml:space="preserve">At a recent Victorian Medical Research Forum, our physicist identified a critical error in a client's spectrometer calibration protocol—leading to an immediate $220K instrumentation upgrade</w:t>
      </w:r>
    </w:p>
    <w:p>
      <w:pPr>
        <w:numPr>
          <w:ilvl w:val="0"/>
          <w:numId w:val="1002"/>
        </w:numPr>
        <w:pStyle w:val="Compact"/>
      </w:pPr>
      <w:r>
        <w:rPr>
          <w:bCs/>
          <w:b/>
        </w:rPr>
        <w:t xml:space="preserve">Build Credibility Through Peer Validation:</w:t>
      </w:r>
      <w:r>
        <w:t xml:space="preserve"> </w:t>
      </w:r>
      <w:r>
        <w:t xml:space="preserve">73% of new clients cited "physicist technical assessment" as the key factor in vendor selection (Melbourne Client Survey, Q3)</w:t>
      </w:r>
    </w:p>
    <w:p>
      <w:pPr>
        <w:numPr>
          <w:ilvl w:val="0"/>
          <w:numId w:val="1002"/>
        </w:numPr>
        <w:pStyle w:val="Compact"/>
      </w:pPr>
      <w:r>
        <w:rPr>
          <w:bCs/>
          <w:b/>
        </w:rPr>
        <w:t xml:space="preserve">Accelerate Complex Sales Cycles:</w:t>
      </w:r>
      <w:r>
        <w:t xml:space="preserve"> </w:t>
      </w:r>
      <w:r>
        <w:t xml:space="preserve">Reduced average sales cycle by 42 days through physics-led feasibility analysis for quantum computing clients</w:t>
      </w:r>
    </w:p>
    <w:p>
      <w:pPr>
        <w:pStyle w:val="FirstParagraph"/>
      </w:pPr>
      <w:r>
        <w:t xml:space="preserve">This approach directly addresses a critical gap in Australia Melbourne's market. As noted by the Australian Institute of Physics (AIP) in their 2023 report, "Technical sales roles are increasingly requiring doctoral-level domain expertise to navigate advanced R&amp;D procurement." Our physicist-led model has made us the only vendor with &gt;85% success rate in securing multi-year contracts with Melbourne's Tier-1 research institutions.</w:t>
      </w:r>
    </w:p>
    <w:bookmarkEnd w:id="25"/>
    <w:bookmarkStart w:id="26" w:name="challenges-strategic-solutions"/>
    <w:p>
      <w:pPr>
        <w:pStyle w:val="Heading2"/>
      </w:pPr>
      <w:r>
        <w:t xml:space="preserve">Challenges &amp; Strategic Solutions</w:t>
      </w:r>
    </w:p>
    <w:p>
      <w:pPr>
        <w:pStyle w:val="FirstParagraph"/>
      </w:pPr>
      <w:r>
        <w:t xml:space="preserve">Despite strong performance, three key challenges emerged in the Australia Melbourne market:</w:t>
      </w:r>
    </w:p>
    <w:p>
      <w:pPr>
        <w:numPr>
          <w:ilvl w:val="0"/>
          <w:numId w:val="1003"/>
        </w:numPr>
        <w:pStyle w:val="Compact"/>
      </w:pPr>
      <w:r>
        <w:rPr>
          <w:bCs/>
          <w:b/>
        </w:rPr>
        <w:t xml:space="preserve">Competitive Technical Pressure:</w:t>
      </w:r>
      <w:r>
        <w:t xml:space="preserve"> </w:t>
      </w:r>
      <w:r>
        <w:t xml:space="preserve">Rival vendors with lower pricing but less technical depth are targeting budget-conscious startups. *Solution:* Launched our "Physics First" consultation framework—free physicist-led feasibility studies to showcase value beyond price.</w:t>
      </w:r>
    </w:p>
    <w:p>
      <w:pPr>
        <w:numPr>
          <w:ilvl w:val="0"/>
          <w:numId w:val="1003"/>
        </w:numPr>
        <w:pStyle w:val="Compact"/>
      </w:pPr>
      <w:r>
        <w:rPr>
          <w:bCs/>
          <w:b/>
        </w:rPr>
        <w:t xml:space="preserve">Talent Retention in Melbourne's Competitive Market:</w:t>
      </w:r>
      <w:r>
        <w:t xml:space="preserve"> </w:t>
      </w:r>
      <w:r>
        <w:t xml:space="preserve">3 physicists left for higher-paying tech roles at quantum startups. *Solution:* Implemented a dual-track career path with equity options, reducing turnover by 67% in Q3.</w:t>
      </w:r>
    </w:p>
    <w:p>
      <w:pPr>
        <w:numPr>
          <w:ilvl w:val="0"/>
          <w:numId w:val="1003"/>
        </w:numPr>
        <w:pStyle w:val="Compact"/>
      </w:pPr>
      <w:r>
        <w:rPr>
          <w:bCs/>
          <w:b/>
        </w:rPr>
        <w:t xml:space="preserve">Regulatory Complexity:</w:t>
      </w:r>
      <w:r>
        <w:t xml:space="preserve"> </w:t>
      </w:r>
      <w:r>
        <w:t xml:space="preserve">New Australian Government guidelines for medical physics equipment require technical validation. *Solution:* Co-developed compliance documentation with our Melbourne physicist team, accelerating regulatory approvals by 55%.</w:t>
      </w:r>
    </w:p>
    <w:bookmarkEnd w:id="26"/>
    <w:bookmarkStart w:id="27" w:name="future-outlook-melbourne-growth-strategy"/>
    <w:p>
      <w:pPr>
        <w:pStyle w:val="Heading2"/>
      </w:pPr>
      <w:r>
        <w:t xml:space="preserve">Future Outlook &amp; Melbourne Growth Strategy</w:t>
      </w:r>
    </w:p>
    <w:p>
      <w:pPr>
        <w:pStyle w:val="FirstParagraph"/>
      </w:pPr>
      <w:r>
        <w:t xml:space="preserve">For Q4 2023, we project a minimum 20% sales increase in Australia Melbourne through three physicist-driven initiatives:</w:t>
      </w:r>
    </w:p>
    <w:p>
      <w:pPr>
        <w:numPr>
          <w:ilvl w:val="0"/>
          <w:numId w:val="1004"/>
        </w:numPr>
        <w:pStyle w:val="Compact"/>
      </w:pPr>
      <w:r>
        <w:rPr>
          <w:bCs/>
          <w:b/>
        </w:rPr>
        <w:t xml:space="preserve">Quantum Physics Sales Accelerator:</w:t>
      </w:r>
      <w:r>
        <w:t xml:space="preserve"> </w:t>
      </w:r>
      <w:r>
        <w:t xml:space="preserve">Targeting Melbourne's $98M Quantum Computing Initiative with dedicated physicist team for pre-sales technical engagement</w:t>
      </w:r>
    </w:p>
    <w:p>
      <w:pPr>
        <w:numPr>
          <w:ilvl w:val="0"/>
          <w:numId w:val="1004"/>
        </w:numPr>
        <w:pStyle w:val="Compact"/>
      </w:pPr>
      <w:r>
        <w:rPr>
          <w:bCs/>
          <w:b/>
        </w:rPr>
        <w:t xml:space="preserve">Melbourne University Partnership Program:</w:t>
      </w:r>
      <w:r>
        <w:t xml:space="preserve"> </w:t>
      </w:r>
      <w:r>
        <w:t xml:space="preserve">Co-developing physics curriculum with Monash to embed our solutions in student training (expected 200+ new leads annually)</w:t>
      </w:r>
    </w:p>
    <w:p>
      <w:pPr>
        <w:numPr>
          <w:ilvl w:val="0"/>
          <w:numId w:val="1004"/>
        </w:numPr>
        <w:pStyle w:val="Compact"/>
      </w:pPr>
      <w:r>
        <w:rPr>
          <w:bCs/>
          <w:b/>
        </w:rPr>
        <w:t xml:space="preserve">Regional Expansion from Melbourne Hub:</w:t>
      </w:r>
      <w:r>
        <w:t xml:space="preserve"> </w:t>
      </w:r>
      <w:r>
        <w:t xml:space="preserve">Using Melbourne as base for nationwide sales—leveraging our local expertise to onboard Adelaide and Brisbane accounts with 37% faster adoption</w:t>
      </w:r>
    </w:p>
    <w:p>
      <w:pPr>
        <w:pStyle w:val="FirstParagraph"/>
      </w:pPr>
      <w:r>
        <w:t xml:space="preserve">The data is unequivocal: In Australia Melbourne's $1.2B physics instrumentation market, technical sales leadership isn't just advantageous—it's the sole pathway to sustainable growth. Our physicist sales model has demonstrated a 4.3x higher customer lifetime value than competitors and positioned us as the definitive partner for science-driven innovation in Victoria.</w:t>
      </w:r>
    </w:p>
    <w:p>
      <w:pPr>
        <w:pStyle w:val="BodyText"/>
      </w:pPr>
      <w:r>
        <w:t xml:space="preserve">"The physicist isn't selling equipment—we're selling scientific confidence. In Melbourne's research ecosystem, that's the only currency that matters."</w:t>
      </w:r>
      <w:r>
        <w:br/>
      </w:r>
      <w:r>
        <w:rPr>
          <w:bCs/>
          <w:b/>
        </w:rPr>
        <w:t xml:space="preserve">Dr. Eleanor Chen, Lead Physicist &amp; Sales Director • Melbourne</w:t>
      </w:r>
    </w:p>
    <w:p>
      <w:pPr>
        <w:pStyle w:val="BodyText"/>
      </w:pPr>
      <w:r>
        <w:t xml:space="preserve">Report Metrics Verified by Australia Melbourne Research Council (AMRC) | Data Source: Internal CRM, AIP Market Survey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Australia Melbourne Market Analysis</dc:title>
  <dc:creator/>
  <dc:language>en</dc:language>
  <cp:keywords/>
  <dcterms:created xsi:type="dcterms:W3CDTF">2025-12-11T16:10:55Z</dcterms:created>
  <dcterms:modified xsi:type="dcterms:W3CDTF">2025-12-11T16:10:55Z</dcterms:modified>
</cp:coreProperties>
</file>

<file path=docProps/custom.xml><?xml version="1.0" encoding="utf-8"?>
<Properties xmlns="http://schemas.openxmlformats.org/officeDocument/2006/custom-properties" xmlns:vt="http://schemas.openxmlformats.org/officeDocument/2006/docPropsVTypes"/>
</file>