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Physicist</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7" w:name="X3be5c3deccfa1e40140d5e12dd24d81f006ba34"/>
    <w:p>
      <w:pPr>
        <w:pStyle w:val="Heading1"/>
      </w:pPr>
      <w:r>
        <w:t xml:space="preserve">Comprehensive Sales Report: Physicist-Driven Innovation in the Belgium Brussels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Business Division</w:t>
      </w:r>
      <w:r>
        <w:br/>
      </w:r>
      <w:r>
        <w:rPr>
          <w:bCs/>
          <w:b/>
        </w:rPr>
        <w:t xml:space="preserve">Prepared By:</w:t>
      </w:r>
      <w:r>
        <w:t xml:space="preserve"> </w:t>
      </w:r>
      <w:r>
        <w:t xml:space="preserve">Global Sales Analytics Department</w:t>
      </w:r>
      <w:r>
        <w:br/>
      </w:r>
      <w:r>
        <w:rPr>
          <w:bCs/>
          <w:b/>
        </w:rPr>
        <w:t xml:space="preserve">Report Scope:</w:t>
      </w:r>
      <w:r>
        <w:t xml:space="preserve"> </w:t>
      </w:r>
      <w:r>
        <w:t xml:space="preserve">Q3 2023 Performance Analysis for Scientific Instrumentation Sales in Belgium Brussels</w:t>
      </w:r>
    </w:p>
    <w:bookmarkStart w:id="20" w:name="i.-executive-summary"/>
    <w:p>
      <w:pPr>
        <w:pStyle w:val="Heading2"/>
      </w:pPr>
      <w:r>
        <w:t xml:space="preserve">I. Executive Summary</w:t>
      </w:r>
    </w:p>
    <w:p>
      <w:pPr>
        <w:pStyle w:val="FirstParagraph"/>
      </w:pPr>
      <w:r>
        <w:t xml:space="preserve">This Sales Report details the strategic performance of our physicist-led sales initiatives across the Belgium Brussels ecosystem during Q3 2023. The region represents a critical growth corridor for high-precision scientific instrumentation, with Brussels serving as the political and research nexus of Europe. Our physicist-driven sales approach has generated a 19.7% year-over-year revenue increase, significantly outperforming regional industry averages of 4.2%. This success underscores the unique value proposition of deploying technically credentialed professionals in complex B2B scientific sales cycles within Belgium Brussels' sophisticated market landscape.</w:t>
      </w:r>
    </w:p>
    <w:bookmarkEnd w:id="20"/>
    <w:bookmarkStart w:id="21" w:name="Xb1500e6677be2040c7d4954374819d254329078"/>
    <w:p>
      <w:pPr>
        <w:pStyle w:val="Heading2"/>
      </w:pPr>
      <w:r>
        <w:t xml:space="preserve">II. Physicist-Centric Sales Strategy Implementation</w:t>
      </w:r>
    </w:p>
    <w:p>
      <w:pPr>
        <w:pStyle w:val="FirstParagraph"/>
      </w:pPr>
      <w:r>
        <w:t xml:space="preserve">The cornerstone of our Belgium Brussels strategy involves embedding certified physicists within client-facing roles—a model that directly addresses the technical sophistication required by research institutions and industrial R&amp;D centers in this region. Unlike conventional sales teams, our physicist representatives (including Dr. Elise Dubois, PhD in Quantum Optics, and Prof. Thomas Meier, specializing in Material Science) possess the academic credibility to engage with CERN collaborators and VUB (Vrije Universiteit Brussel) research directors at a peer level.</w:t>
      </w:r>
    </w:p>
    <w:p>
      <w:pPr>
        <w:pStyle w:val="BodyText"/>
      </w:pPr>
      <w:r>
        <w:t xml:space="preserve">Key implementation metrics demonstrate exceptional results:</w:t>
      </w:r>
    </w:p>
    <w:p>
      <w:pPr>
        <w:numPr>
          <w:ilvl w:val="0"/>
          <w:numId w:val="1001"/>
        </w:numPr>
        <w:pStyle w:val="Compact"/>
      </w:pPr>
      <w:r>
        <w:t xml:space="preserve">32% higher client retention rate among physics-intensive accounts compared to non-physicist sales channels</w:t>
      </w:r>
    </w:p>
    <w:p>
      <w:pPr>
        <w:numPr>
          <w:ilvl w:val="0"/>
          <w:numId w:val="1001"/>
        </w:numPr>
        <w:pStyle w:val="Compact"/>
      </w:pPr>
      <w:r>
        <w:t xml:space="preserve">57% reduction in sales cycle duration for complex instrumentation proposals (averaging 87 days vs. industry standard of 142 days)</w:t>
      </w:r>
    </w:p>
    <w:p>
      <w:pPr>
        <w:numPr>
          <w:ilvl w:val="0"/>
          <w:numId w:val="1001"/>
        </w:numPr>
        <w:pStyle w:val="Compact"/>
      </w:pPr>
      <w:r>
        <w:t xml:space="preserve">100% of major deals involving synchrotron facilities or EU-funded research consortia were closed by physicist sales personnel</w:t>
      </w:r>
    </w:p>
    <w:bookmarkEnd w:id="21"/>
    <w:bookmarkStart w:id="22" w:name="Xaf7dc78d950f8525cbbb16a3c06b664fd2c811d"/>
    <w:p>
      <w:pPr>
        <w:pStyle w:val="Heading2"/>
      </w:pPr>
      <w:r>
        <w:t xml:space="preserve">III. Belgium Brussels Market Analysis: The Physicist Advantage</w:t>
      </w:r>
    </w:p>
    <w:p>
      <w:pPr>
        <w:pStyle w:val="FirstParagraph"/>
      </w:pPr>
      <w:r>
        <w:t xml:space="preserve">The Belgium Brussels market presents unique characteristics demanding specialized sales expertise. As the seat of European institutions and home to 43% of EU-funded scientific projects in Benelux, this region requires vendors to demonstrate deep technical understanding beyond standard procurement processes. Our Sales Report reveals that 87% of key decision-makers in Brussels-based research entities explicitly prioritize vendor technical credibility during RFP evaluations—a factor directly leveraged by our physicist team.</w:t>
      </w:r>
    </w:p>
    <w:p>
      <w:pPr>
        <w:pStyle w:val="BodyText"/>
      </w:pPr>
      <w:r>
        <w:t xml:space="preserve">Notable successes include:</w:t>
      </w:r>
    </w:p>
    <w:p>
      <w:pPr>
        <w:numPr>
          <w:ilvl w:val="0"/>
          <w:numId w:val="1002"/>
        </w:numPr>
        <w:pStyle w:val="Compact"/>
      </w:pPr>
      <w:r>
        <w:t xml:space="preserve">Securing a €2.3M contract with the Belgian Nuclear Research Centre (SCK•CEN) for neutron spectrometry systems through Dr. Dubois' demonstration of quantum measurement expertise</w:t>
      </w:r>
    </w:p>
    <w:p>
      <w:pPr>
        <w:numPr>
          <w:ilvl w:val="0"/>
          <w:numId w:val="1002"/>
        </w:numPr>
        <w:pStyle w:val="Compact"/>
      </w:pPr>
      <w:r>
        <w:t xml:space="preserve">Closing a 5-year partnership with KU Leuven's Quantum Computing Lab led by Prof. Meier, who validated our instrumentation against their proprietary coherence testing protocols</w:t>
      </w:r>
    </w:p>
    <w:p>
      <w:pPr>
        <w:numPr>
          <w:ilvl w:val="0"/>
          <w:numId w:val="1002"/>
        </w:numPr>
        <w:pStyle w:val="Compact"/>
      </w:pPr>
      <w:r>
        <w:t xml:space="preserve">Winning the "Innovation Partner" award from Brussels Science Park for our physicist-led solution to spectroscopy challenges in pharmaceutical development</w:t>
      </w:r>
    </w:p>
    <w:bookmarkEnd w:id="22"/>
    <w:bookmarkStart w:id="23" w:name="Xb2b9abd8cacd9bee6bb48959c8bc98773aff5bd"/>
    <w:p>
      <w:pPr>
        <w:pStyle w:val="Heading2"/>
      </w:pPr>
      <w:r>
        <w:t xml:space="preserve">IV. Challenges and Physicist-Driven Solutions in Belgium Brussels</w:t>
      </w:r>
    </w:p>
    <w:p>
      <w:pPr>
        <w:pStyle w:val="FirstParagraph"/>
      </w:pPr>
      <w:r>
        <w:t xml:space="preserve">The market presented specific hurdles requiring our physicist sales team's specialized approach:</w:t>
      </w:r>
    </w:p>
    <w:p>
      <w:pPr>
        <w:pStyle w:val="BodyText"/>
      </w:pPr>
      <w:r>
        <w:rPr>
          <w:bCs/>
          <w:b/>
        </w:rPr>
        <w:t xml:space="preserve">Challenge 1: Complex Regulatory Environment</w:t>
      </w:r>
      <w:r>
        <w:br/>
      </w:r>
      <w:r>
        <w:t xml:space="preserve">Belgium's strict metrology standards for scientific equipment required technical validation beyond standard compliance. Our physicist Sales Report highlights how Dr. Dubois collaborated with the Federal Agency for Nuclear Control (FANC) to develop custom calibration protocols, turning a potential barrier into a competitive differentiator.</w:t>
      </w:r>
    </w:p>
    <w:p>
      <w:pPr>
        <w:pStyle w:val="BodyText"/>
      </w:pPr>
      <w:r>
        <w:rPr>
          <w:bCs/>
          <w:b/>
        </w:rPr>
        <w:t xml:space="preserve">Challenge 2: Multilingual Technical Communication</w:t>
      </w:r>
      <w:r>
        <w:br/>
      </w:r>
      <w:r>
        <w:t xml:space="preserve">The Brussels market demands fluency in Dutch, French, and English technical discourse. Our physicist sales representatives—natively fluent in all three—achieved 100% accuracy in translating complex quantum mechanics concepts during client presentations, eliminating miscommunication risks that caused 32% of lost bids elsewhere.</w:t>
      </w:r>
    </w:p>
    <w:p>
      <w:pPr>
        <w:pStyle w:val="BodyText"/>
      </w:pPr>
      <w:r>
        <w:rPr>
          <w:bCs/>
          <w:b/>
        </w:rPr>
        <w:t xml:space="preserve">Challenge 3: EU Funding Integration</w:t>
      </w:r>
      <w:r>
        <w:br/>
      </w:r>
      <w:r>
        <w:t xml:space="preserve">Securing projects requiring Horizon Europe funding necessitated technical alignment with grant parameters. Prof. Meier's familiarity with EU R&amp;D frameworks enabled our team to co-design solutions meeting specific grant requirements, resulting in 100% success rate for funded proposals in Q3.</w:t>
      </w:r>
    </w:p>
    <w:bookmarkEnd w:id="23"/>
    <w:bookmarkStart w:id="24" w:name="X909893f5e2e0c6063ffe4a4630eeba1f1694d7f"/>
    <w:p>
      <w:pPr>
        <w:pStyle w:val="Heading2"/>
      </w:pPr>
      <w:r>
        <w:t xml:space="preserve">V. Financial Performance: Belgium Brussels Impact</w:t>
      </w:r>
    </w:p>
    <w:p>
      <w:pPr>
        <w:pStyle w:val="FirstParagraph"/>
      </w:pPr>
      <w:r>
        <w:t xml:space="preserve">The Sales Report quantifies the tangible value of this physicist-led model:</w:t>
      </w:r>
    </w:p>
    <w:p>
      <w:pPr>
        <w:pStyle w:val="BodyText"/>
      </w:pPr>
      <w:r>
        <w:t xml:space="preserve">Performance Metric</w:t>
      </w:r>
    </w:p>
    <w:p>
      <w:pPr>
        <w:pStyle w:val="BodyText"/>
      </w:pPr>
      <w:r>
        <w:t xml:space="preserve">Q3 2023 (Physicist Team)</w:t>
      </w:r>
    </w:p>
    <w:p>
      <w:pPr>
        <w:pStyle w:val="BodyText"/>
      </w:pPr>
      <w:r>
        <w:t xml:space="preserve">Industry Average</w:t>
      </w:r>
    </w:p>
    <w:p>
      <w:pPr>
        <w:pStyle w:val="BodyText"/>
      </w:pPr>
      <w:r>
        <w:t xml:space="preserve">Average Deal Value</w:t>
      </w:r>
    </w:p>
    <w:p>
      <w:pPr>
        <w:pStyle w:val="BodyText"/>
      </w:pPr>
      <w:r>
        <w:t xml:space="preserve">€187,000</w:t>
      </w:r>
    </w:p>
    <w:p>
      <w:pPr>
        <w:pStyle w:val="BodyText"/>
      </w:pPr>
      <w:r>
        <w:t xml:space="preserve">€142,500</w:t>
      </w:r>
    </w:p>
    <w:p>
      <w:pPr>
        <w:pStyle w:val="BodyText"/>
      </w:pPr>
      <w:r>
        <w:t xml:space="preserve">Client Acquisition Cost (CAC)</w:t>
      </w:r>
    </w:p>
    <w:p>
      <w:pPr>
        <w:pStyle w:val="BodyText"/>
      </w:pPr>
      <w:r>
        <w:t xml:space="preserve">€8,250</w:t>
      </w:r>
    </w:p>
    <w:p>
      <w:pPr>
        <w:pStyle w:val="BodyText"/>
      </w:pPr>
      <w:r>
        <w:t xml:space="preserve">€14,675</w:t>
      </w:r>
    </w:p>
    <w:p>
      <w:pPr>
        <w:pStyle w:val="BodyText"/>
      </w:pPr>
      <w:r>
        <w:t xml:space="preserve">Sales Cycle Efficiency</w:t>
      </w:r>
    </w:p>
    <w:p>
      <w:pPr>
        <w:pStyle w:val="BodyText"/>
      </w:pPr>
      <w:r>
        <w:t xml:space="preserve">2.3x faster</w:t>
      </w:r>
    </w:p>
    <w:p>
      <w:pPr>
        <w:pStyle w:val="BodyText"/>
      </w:pPr>
      <w:r>
        <w:t xml:space="preserve">Baseline</w:t>
      </w:r>
    </w:p>
    <w:p>
      <w:pPr>
        <w:pStyle w:val="BodyText"/>
      </w:pPr>
      <w:r>
        <w:t xml:space="preserve">These figures represent a 37% ROI improvement over non-physicist sales channels in Belgium Brussels, directly attributable to the technical authority our physicists provide during high-stakes negotiations. The region now accounts for 28% of our global scientific instrumentation revenue—a 12-point increase from Q3 2022.</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Sales Report, we recommend the following initiatives to capitalize on Belgium Brussels' potential:</w:t>
      </w:r>
    </w:p>
    <w:p>
      <w:pPr>
        <w:numPr>
          <w:ilvl w:val="0"/>
          <w:numId w:val="1003"/>
        </w:numPr>
        <w:pStyle w:val="Compact"/>
      </w:pPr>
      <w:r>
        <w:rPr>
          <w:bCs/>
          <w:b/>
        </w:rPr>
        <w:t xml:space="preserve">National Physics Sales Corps Expansion:</w:t>
      </w:r>
      <w:r>
        <w:t xml:space="preserve"> </w:t>
      </w:r>
      <w:r>
        <w:t xml:space="preserve">Allocate 40% of our 2024 physicist recruitment budget exclusively for Belgium Brussels roles, targeting universities and EU institutions</w:t>
      </w:r>
    </w:p>
    <w:p>
      <w:pPr>
        <w:numPr>
          <w:ilvl w:val="0"/>
          <w:numId w:val="1003"/>
        </w:numPr>
        <w:pStyle w:val="Compact"/>
      </w:pPr>
      <w:r>
        <w:rPr>
          <w:bCs/>
          <w:b/>
        </w:rPr>
        <w:t xml:space="preserve">Quantum Technology Specialization:</w:t>
      </w:r>
      <w:r>
        <w:t xml:space="preserve"> </w:t>
      </w:r>
      <w:r>
        <w:t xml:space="preserve">Develop new sales training modules focused on quantum metrology—addressing the €1.8B quantum research market in Brussels</w:t>
      </w:r>
    </w:p>
    <w:p>
      <w:pPr>
        <w:numPr>
          <w:ilvl w:val="0"/>
          <w:numId w:val="1003"/>
        </w:numPr>
        <w:pStyle w:val="Compact"/>
      </w:pPr>
      <w:r>
        <w:rPr>
          <w:bCs/>
          <w:b/>
        </w:rPr>
        <w:t xml:space="preserve">Euro-Research Alliance Program:</w:t>
      </w:r>
      <w:r>
        <w:t xml:space="preserve"> </w:t>
      </w:r>
      <w:r>
        <w:t xml:space="preserve">Create a joint initiative with CERN and KU Leuven to co-develop certification programs for physicist sales personnel, enhancing market credibility</w:t>
      </w:r>
    </w:p>
    <w:bookmarkEnd w:id="25"/>
    <w:bookmarkStart w:id="26" w:name="X267d042edd4db2d4fa8430bf7b5ceb6dfb177d1"/>
    <w:p>
      <w:pPr>
        <w:pStyle w:val="Heading2"/>
      </w:pPr>
      <w:r>
        <w:t xml:space="preserve">VII. Conclusion: The Physics of Profit in Belgium Brussels</w:t>
      </w:r>
    </w:p>
    <w:p>
      <w:pPr>
        <w:pStyle w:val="FirstParagraph"/>
      </w:pPr>
      <w:r>
        <w:t xml:space="preserve">This Sales Report unequivocally demonstrates that deploying certified physicists in sales roles isn't merely beneficial—it's essential for success in the Belgium Brussels scientific marketplace. The region's unique ecosystem demands technical expertise that transcends traditional sales capabilities, and our physicist team has become the critical differentiator driving market leadership. As EU funding accelerates across quantum computing and sustainable energy research in Brussels, the strategic value of having a physicist as your primary sales representative will only intensify.</w:t>
      </w:r>
    </w:p>
    <w:p>
      <w:pPr>
        <w:pStyle w:val="BodyText"/>
      </w:pPr>
      <w:r>
        <w:t xml:space="preserve">By 2025, we project that physicist-led accounts in Belgium Brussels will generate 41% of our total European scientific instrumentation revenue. This Sales Report confirms that where technical complexity meets market opportunity, the physicist's role transforms from salesperson to strategic partner—delivering measurable revenue while elevating our brand as the engineering excellence standard in Europe's most demanding scientific marketplace. For companies seeking sustainable growth in Belgium Brussels, the data is clear: invest in physics expertise, and you invest in your future profitability.</w:t>
      </w:r>
    </w:p>
    <w:p>
      <w:pPr>
        <w:pStyle w:val="BodyText"/>
      </w:pPr>
      <w:r>
        <w:rPr>
          <w:bCs/>
          <w:b/>
        </w:rPr>
        <w:t xml:space="preserve">Appendix:</w:t>
      </w:r>
      <w:r>
        <w:t xml:space="preserve"> </w:t>
      </w:r>
      <w:r>
        <w:t xml:space="preserve">Full technical validation reports from SCK•CEN and KU Leuven partnerships available upon request (Reference IDs: BRUS-2023-Q3-PHYS)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Physicist Market Analysis - Belgium Brussels</dc:title>
  <dc:creator/>
  <dc:language>en</dc:language>
  <cp:keywords/>
  <dcterms:created xsi:type="dcterms:W3CDTF">2026-07-17T15:57:39Z</dcterms:created>
  <dcterms:modified xsi:type="dcterms:W3CDTF">2026-07-17T15:57:39Z</dcterms:modified>
</cp:coreProperties>
</file>

<file path=docProps/custom.xml><?xml version="1.0" encoding="utf-8"?>
<Properties xmlns="http://schemas.openxmlformats.org/officeDocument/2006/custom-properties" xmlns:vt="http://schemas.openxmlformats.org/officeDocument/2006/docPropsVTypes"/>
</file>