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Strategic</w:t>
      </w:r>
      <w:r>
        <w:t xml:space="preserve"> </w:t>
      </w:r>
      <w:r>
        <w:t xml:space="preserve">Advancements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704117fbc20430b18d267ef2848d09ebfb12b67"/>
    <w:p>
      <w:pPr>
        <w:pStyle w:val="Heading1"/>
      </w:pPr>
      <w:r>
        <w:t xml:space="preserve">Comprehensive Sales Report: Physicist-Driven Innovations Fueling Growth in China Beijing</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Leadership Team |</w:t>
      </w:r>
      <w:r>
        <w:t xml:space="preserve"> </w:t>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Sales Report details the strategic integration of physicist expertise within our Beijing operations, demonstrating how technical acumen has directly accelerated market penetration and revenue growth in China's most dynamic scientific hub. The data confirms that physicist-led sales initiatives in Beijing generated a 37% year-over-year revenue increase, surpassing regional targets by 22%. This success underscores the critical value of specialized physics talent in closing high-value enterprise contracts across China's technology-intensive sectors.</w:t>
      </w:r>
    </w:p>
    <w:bookmarkEnd w:id="20"/>
    <w:bookmarkStart w:id="21" w:name="X7436adf7f63a840d58b9d042ca61d576070f561"/>
    <w:p>
      <w:pPr>
        <w:pStyle w:val="Heading2"/>
      </w:pPr>
      <w:r>
        <w:t xml:space="preserve">II. Beijing Market Context: Why Physics Talent is Non-Negotiable</w:t>
      </w:r>
    </w:p>
    <w:p>
      <w:pPr>
        <w:pStyle w:val="FirstParagraph"/>
      </w:pPr>
      <w:r>
        <w:t xml:space="preserve">Beijing serves as China's premier innovation engine, housing 68% of the nation's advanced R&amp;D facilities and attracting 41% of all high-tech foreign investments (National Science Foundation, 2023). In this ecosystem, technical credibility is the cornerstone of client trust. Our sales team discovered that enterprise clients in Beijing—particularly in quantum computing, semiconductor manufacturing, and clean energy sectors—demand physicists who can translate complex scientific concepts into commercial value. The absence of physicist involvement in sales cycles resulted in a 63% failure rate for proposals exceeding $500k during Q1 2023. This report documents how embedding physicists within our sales process reversed this trend.</w:t>
      </w:r>
    </w:p>
    <w:bookmarkEnd w:id="21"/>
    <w:bookmarkStart w:id="22" w:name="Xa3ffd70b6e8249e27c79e703714c96951a01bca"/>
    <w:p>
      <w:pPr>
        <w:pStyle w:val="Heading2"/>
      </w:pPr>
      <w:r>
        <w:t xml:space="preserve">III. Physicist Integration Model: From Support Role to Revenue Driver</w:t>
      </w:r>
    </w:p>
    <w:p>
      <w:pPr>
        <w:pStyle w:val="FirstParagraph"/>
      </w:pPr>
      <w:r>
        <w:t xml:space="preserve">Our Beijing office implemented the "Physics-Sales Fusion" framework, placing certified physicists (PhD in Quantum Mechanics/Condensed Matter Physics) as dedicated sales engineers. Key outcomes include:</w:t>
      </w:r>
    </w:p>
    <w:p>
      <w:pPr>
        <w:numPr>
          <w:ilvl w:val="0"/>
          <w:numId w:val="1001"/>
        </w:numPr>
        <w:pStyle w:val="Compact"/>
      </w:pPr>
      <w:r>
        <w:rPr>
          <w:bCs/>
          <w:b/>
        </w:rPr>
        <w:t xml:space="preserve">Technical Proposal Development:</w:t>
      </w:r>
      <w:r>
        <w:t xml:space="preserve"> </w:t>
      </w:r>
      <w:r>
        <w:t xml:space="preserve">Physicists co-created 100% of RFP responses for quantum sensor solutions, reducing response time by 45% and increasing win rates from 32% to 78%.</w:t>
      </w:r>
    </w:p>
    <w:p>
      <w:pPr>
        <w:numPr>
          <w:ilvl w:val="0"/>
          <w:numId w:val="1001"/>
        </w:numPr>
        <w:pStyle w:val="Compact"/>
      </w:pPr>
      <w:r>
        <w:rPr>
          <w:bCs/>
          <w:b/>
        </w:rPr>
        <w:t xml:space="preserve">Clinical Validation Demonstrations:</w:t>
      </w:r>
      <w:r>
        <w:t xml:space="preserve"> </w:t>
      </w:r>
      <w:r>
        <w:t xml:space="preserve">At Beijing Institute of Technology, physicist-led live demonstrations increased client conversion from 19% to 65% during pilot trials.</w:t>
      </w:r>
    </w:p>
    <w:p>
      <w:pPr>
        <w:numPr>
          <w:ilvl w:val="0"/>
          <w:numId w:val="1001"/>
        </w:numPr>
        <w:pStyle w:val="Compact"/>
      </w:pPr>
      <w:r>
        <w:rPr>
          <w:bCs/>
          <w:b/>
        </w:rPr>
        <w:t xml:space="preserve">Competitive Differentiation:</w:t>
      </w:r>
      <w:r>
        <w:t xml:space="preserve"> </w:t>
      </w:r>
      <w:r>
        <w:t xml:space="preserve">In the $2.3M semiconductor metrology contract with SMIC (Shanghai Micro Electronics), our physicist identified a proprietary measurement flaw in competitors' systems, securing the deal through technical superiority.</w:t>
      </w:r>
    </w:p>
    <w:bookmarkEnd w:id="22"/>
    <w:bookmarkStart w:id="23" w:name="Xf057540424af39719ab250ef8a333c2977913b2"/>
    <w:p>
      <w:pPr>
        <w:pStyle w:val="Heading2"/>
      </w:pPr>
      <w:r>
        <w:t xml:space="preserve">IV. Quantitative Sales Impact: Beijing-Specific Metrics</w:t>
      </w:r>
    </w:p>
    <w:p>
      <w:pPr>
        <w:pStyle w:val="FirstParagraph"/>
      </w:pPr>
      <w:r>
        <w:t xml:space="preserve">Exclusively for China Beijing operations, the physicist sales model delivered these results:</w:t>
      </w:r>
    </w:p>
    <w:p>
      <w:pPr>
        <w:pStyle w:val="BodyText"/>
      </w:pPr>
      <w:r>
        <w:t xml:space="preserve">KPI</w:t>
      </w:r>
    </w:p>
    <w:p>
      <w:pPr>
        <w:pStyle w:val="BodyText"/>
      </w:pPr>
      <w:r>
        <w:t xml:space="preserve">Q1 2023 (Pre-Physicist)</w:t>
      </w:r>
    </w:p>
    <w:p>
      <w:pPr>
        <w:pStyle w:val="BodyText"/>
      </w:pPr>
      <w:r>
        <w:t xml:space="preserve">Q3 2023 (Post-Integration)</w:t>
      </w:r>
    </w:p>
    <w:p>
      <w:pPr>
        <w:pStyle w:val="BodyText"/>
      </w:pPr>
      <w:r>
        <w:t xml:space="preserve">Change</w:t>
      </w:r>
    </w:p>
    <w:p>
      <w:pPr>
        <w:pStyle w:val="BodyText"/>
      </w:pPr>
      <w:r>
        <w:t xml:space="preserve">Average Deal Size</w:t>
      </w:r>
    </w:p>
    <w:p>
      <w:pPr>
        <w:pStyle w:val="BodyText"/>
      </w:pPr>
      <w:r>
        <w:t xml:space="preserve">$418k</w:t>
      </w:r>
    </w:p>
    <w:p>
      <w:pPr>
        <w:pStyle w:val="BodyText"/>
      </w:pPr>
      <w:r>
        <w:t xml:space="preserve">$792k</w:t>
      </w:r>
    </w:p>
    <w:p>
      <w:pPr>
        <w:pStyle w:val="BodyText"/>
      </w:pPr>
      <w:r>
        <w:t xml:space="preserve">+89%</w:t>
      </w:r>
    </w:p>
    <w:p>
      <w:pPr>
        <w:pStyle w:val="BodyText"/>
      </w:pPr>
      <w:r>
        <w:t xml:space="preserve">Client Acquisition Cost (CAC)</w:t>
      </w:r>
    </w:p>
    <w:p>
      <w:pPr>
        <w:pStyle w:val="BodyText"/>
      </w:pPr>
      <w:r>
        <w:t xml:space="preserve">$18,500</w:t>
      </w:r>
    </w:p>
    <w:p>
      <w:pPr>
        <w:pStyle w:val="BodyText"/>
      </w:pPr>
      <w:r>
        <w:t xml:space="preserve">&lt;</w:t>
      </w:r>
    </w:p>
    <w:p>
      <w:pPr>
        <w:pStyle w:val="BodyText"/>
      </w:pPr>
      <w:r>
        <w:t xml:space="preserve">$9,200</w:t>
      </w:r>
    </w:p>
    <w:p>
      <w:pPr>
        <w:pStyle w:val="BodyText"/>
      </w:pPr>
      <w:r>
        <w:rPr>
          <w:bCs/>
          <w:b/>
        </w:rPr>
        <w:t xml:space="preserve">−50%</w:t>
      </w:r>
    </w:p>
    <w:p>
      <w:pPr>
        <w:pStyle w:val="BodyText"/>
      </w:pPr>
      <w:r>
        <w:t xml:space="preserve">Sales Cycle Duration</w:t>
      </w:r>
    </w:p>
    <w:p>
      <w:pPr>
        <w:pStyle w:val="BodyText"/>
      </w:pPr>
      <w:r>
        <w:t xml:space="preserve">142 days</w:t>
      </w:r>
    </w:p>
    <w:p>
      <w:pPr>
        <w:pStyle w:val="BodyText"/>
      </w:pPr>
      <w:r>
        <w:t xml:space="preserve">73 days</w:t>
      </w:r>
    </w:p>
    <w:p>
      <w:pPr>
        <w:pStyle w:val="BodyText"/>
      </w:pPr>
      <w:r>
        <w:t xml:space="preserve">NPS (Net Promoter Score)</w:t>
      </w:r>
    </w:p>
    <w:p>
      <w:pPr>
        <w:pStyle w:val="BodyText"/>
      </w:pPr>
      <w:r>
        <w:t xml:space="preserve">34</w:t>
      </w:r>
    </w:p>
    <w:p>
      <w:pPr>
        <w:pStyle w:val="BodyText"/>
      </w:pPr>
      <w:r>
        <w:t xml:space="preserve">86</w:t>
      </w:r>
    </w:p>
    <w:p>
      <w:pPr>
        <w:pStyle w:val="BodyText"/>
      </w:pPr>
      <w:r>
        <w:t xml:space="preserve">The 50% CAC reduction stems from physicists preventing costly misalignment between client needs and product capabilities—critical in Beijing's market where technical missteps destroy credibility instantly.</w:t>
      </w:r>
    </w:p>
    <w:bookmarkEnd w:id="23"/>
    <w:bookmarkStart w:id="24" w:name="Xb7b4b3a84c43df2de1faa8d8ffa75a3d56c28b9"/>
    <w:p>
      <w:pPr>
        <w:pStyle w:val="Heading2"/>
      </w:pPr>
      <w:r>
        <w:t xml:space="preserve">V. Case Study: Quantum Computing Partnership with Tsinghua University</w:t>
      </w:r>
    </w:p>
    <w:p>
      <w:pPr>
        <w:pStyle w:val="FirstParagraph"/>
      </w:pPr>
      <w:r>
        <w:t xml:space="preserve">Beijing's Tsinghua University sought quantum error-correction hardware but faced vendor skepticism about feasibility. Our physicist sales lead, Dr. Li Wei (ex-IPHT Jena), performed a live simulation during the presentation demonstrating 37% lower error rates versus competitors' claims. This technical validation:</w:t>
      </w:r>
    </w:p>
    <w:p>
      <w:pPr>
        <w:numPr>
          <w:ilvl w:val="0"/>
          <w:numId w:val="1002"/>
        </w:numPr>
        <w:pStyle w:val="Compact"/>
      </w:pPr>
      <w:r>
        <w:t xml:space="preserve">Secured a $4.2M initial contract (28% above target)</w:t>
      </w:r>
    </w:p>
    <w:p>
      <w:pPr>
        <w:numPr>
          <w:ilvl w:val="0"/>
          <w:numId w:val="1002"/>
        </w:numPr>
        <w:pStyle w:val="Compact"/>
      </w:pPr>
      <w:r>
        <w:t xml:space="preserve">Generated 11 follow-up deals with Beijing-based tech incubators</w:t>
      </w:r>
    </w:p>
    <w:p>
      <w:pPr>
        <w:numPr>
          <w:ilvl w:val="0"/>
          <w:numId w:val="1002"/>
        </w:numPr>
        <w:pStyle w:val="Compact"/>
      </w:pPr>
      <w:r>
        <w:t xml:space="preserve">Triggered university collaboration for joint R&amp;D—now projected to yield $8.7M in future revenue</w:t>
      </w:r>
    </w:p>
    <w:p>
      <w:pPr>
        <w:pStyle w:val="FirstParagraph"/>
      </w:pPr>
      <w:r>
        <w:t xml:space="preserve">As Tsinghua's Director of Quantum Research noted: "The physicist didn't just sell—it proved our technical vision." This exemplifies the Beijing market's premium on scientific credibility over traditional sales tactics.</w:t>
      </w:r>
    </w:p>
    <w:bookmarkEnd w:id="24"/>
    <w:bookmarkStart w:id="25" w:name="X20de44b83cf99155925aaca582b3971b610f825"/>
    <w:p>
      <w:pPr>
        <w:pStyle w:val="Heading2"/>
      </w:pPr>
      <w:r>
        <w:t xml:space="preserve">VI. Cultural Adaptation: Bridging Science and Business in China</w:t>
      </w:r>
    </w:p>
    <w:p>
      <w:pPr>
        <w:pStyle w:val="FirstParagraph"/>
      </w:pPr>
      <w:r>
        <w:t xml:space="preserve">The success in China Beijing hinged on contextualizing physics expertise within Chinese business culture. Our physicists underwent mandatory training in:</w:t>
      </w:r>
    </w:p>
    <w:p>
      <w:pPr>
        <w:numPr>
          <w:ilvl w:val="0"/>
          <w:numId w:val="1003"/>
        </w:numPr>
        <w:pStyle w:val="Compact"/>
      </w:pPr>
      <w:r>
        <w:rPr>
          <w:iCs/>
          <w:i/>
        </w:rPr>
        <w:t xml:space="preserve">Guānxi (Relationship) Management:</w:t>
      </w:r>
      <w:r>
        <w:t xml:space="preserve"> </w:t>
      </w:r>
      <w:r>
        <w:t xml:space="preserve">Physicists now structure technical meetings around senior leadership "face-to-face" sessions, a non-negotiable practice in Beijing.</w:t>
      </w:r>
    </w:p>
    <w:p>
      <w:pPr>
        <w:numPr>
          <w:ilvl w:val="0"/>
          <w:numId w:val="1003"/>
        </w:numPr>
        <w:pStyle w:val="Compact"/>
      </w:pPr>
      <w:r>
        <w:rPr>
          <w:iCs/>
          <w:i/>
        </w:rPr>
        <w:t xml:space="preserve">Localization of Technical Jargon:</w:t>
      </w:r>
      <w:r>
        <w:t xml:space="preserve"> </w:t>
      </w:r>
      <w:r>
        <w:t xml:space="preserve">Replacing Western physics terminology with Chinese academic equivalents (e.g., translating "quantum entanglement" to 量子纠缠) increased client comprehension by 76%.</w:t>
      </w:r>
    </w:p>
    <w:p>
      <w:pPr>
        <w:numPr>
          <w:ilvl w:val="0"/>
          <w:numId w:val="1003"/>
        </w:numPr>
        <w:pStyle w:val="Compact"/>
      </w:pPr>
      <w:r>
        <w:rPr>
          <w:iCs/>
          <w:i/>
        </w:rPr>
        <w:t xml:space="preserve">Policy Alignment:</w:t>
      </w:r>
      <w:r>
        <w:t xml:space="preserve"> </w:t>
      </w:r>
      <w:r>
        <w:t xml:space="preserve">Physicists now reference China's "National Quantum Initiative" roadmap in all proposals, demonstrating strategic alignment with Beijing's government priorities.</w:t>
      </w:r>
    </w:p>
    <w:bookmarkEnd w:id="25"/>
    <w:bookmarkStart w:id="26" w:name="X5b1bb4615b5b0067f0b9d4ca383157dc67cef60"/>
    <w:p>
      <w:pPr>
        <w:pStyle w:val="Heading2"/>
      </w:pPr>
      <w:r>
        <w:t xml:space="preserve">VII. Strategic Recommendations for China Beijing Expansion</w:t>
      </w:r>
    </w:p>
    <w:p>
      <w:pPr>
        <w:pStyle w:val="FirstParagraph"/>
      </w:pPr>
      <w:r>
        <w:t xml:space="preserve">To sustain momentum in China Beijing, we propose:</w:t>
      </w:r>
    </w:p>
    <w:p>
      <w:pPr>
        <w:numPr>
          <w:ilvl w:val="0"/>
          <w:numId w:val="1004"/>
        </w:numPr>
        <w:pStyle w:val="Compact"/>
      </w:pPr>
      <w:r>
        <w:rPr>
          <w:bCs/>
          <w:b/>
        </w:rPr>
        <w:t xml:space="preserve">Physicist Talent Pipeline:</w:t>
      </w:r>
      <w:r>
        <w:t xml:space="preserve"> </w:t>
      </w:r>
      <w:r>
        <w:t xml:space="preserve">Partner with Peking University and Tsinghua to establish a dedicated "Sales Physics" internship program targeting PhD candidates.</w:t>
      </w:r>
    </w:p>
    <w:p>
      <w:pPr>
        <w:numPr>
          <w:ilvl w:val="0"/>
          <w:numId w:val="1004"/>
        </w:numPr>
        <w:pStyle w:val="Compact"/>
      </w:pPr>
      <w:r>
        <w:rPr>
          <w:bCs/>
          <w:b/>
        </w:rPr>
        <w:t xml:space="preserve">Beijing-Specific Product Suite:</w:t>
      </w:r>
      <w:r>
        <w:t xml:space="preserve"> </w:t>
      </w:r>
      <w:r>
        <w:t xml:space="preserve">Develop modular quantum sensing kits optimized for Chinese semiconductor production tolerances (e.g., 5nm node calibration).</w:t>
      </w:r>
    </w:p>
    <w:p>
      <w:pPr>
        <w:numPr>
          <w:ilvl w:val="0"/>
          <w:numId w:val="1004"/>
        </w:numPr>
        <w:pStyle w:val="Compact"/>
      </w:pPr>
      <w:r>
        <w:rPr>
          <w:bCs/>
          <w:b/>
        </w:rPr>
        <w:t xml:space="preserve">Government Relations Integration:</w:t>
      </w:r>
      <w:r>
        <w:t xml:space="preserve"> </w:t>
      </w:r>
      <w:r>
        <w:t xml:space="preserve">Embed physicists in our Beijing government affairs team to co-author technical white papers aligned with China's 14th Five-Year Plan.</w:t>
      </w:r>
    </w:p>
    <w:bookmarkEnd w:id="26"/>
    <w:bookmarkStart w:id="27" w:name="Xdd5bc09646ca18cf5568715b2b960fdfeb7aa2a"/>
    <w:p>
      <w:pPr>
        <w:pStyle w:val="Heading2"/>
      </w:pPr>
      <w:r>
        <w:t xml:space="preserve">VIII. Conclusion: The Physics Imperative in Beijing's Market</w:t>
      </w:r>
    </w:p>
    <w:p>
      <w:pPr>
        <w:pStyle w:val="FirstParagraph"/>
      </w:pPr>
      <w:r>
        <w:t xml:space="preserve">This Sales Report unequivocally demonstrates that in China Beijing—where scientific excellence is synonymous with commercial opportunity—the Physicist is no longer a support function but the core driver of sales success. The 37% revenue surge proves that technical depth directly translates to market dominance in this ecosystem. As we scale toward Beijing's $12B quantum technology market (expected by 2025), physicist integration will be non-negotiable for every new client acquisition strategy.</w:t>
      </w:r>
    </w:p>
    <w:p>
      <w:pPr>
        <w:pStyle w:val="BodyText"/>
      </w:pPr>
      <w:r>
        <w:t xml:space="preserve">With our physicists now central to the sales narrative, we project a minimum 58% revenue increase from Beijing in Q4 2023. The data is clear: In China's most competitive market, physics isn't just an asset—it's the only currency that truly buys trust.</w:t>
      </w:r>
    </w:p>
    <w:p>
      <w:pPr>
        <w:pStyle w:val="BodyText"/>
      </w:pPr>
      <w:r>
        <w:rPr>
          <w:bCs/>
          <w:b/>
        </w:rPr>
        <w:t xml:space="preserve">Prepared By:</w:t>
      </w:r>
      <w:r>
        <w:t xml:space="preserve"> </w:t>
      </w:r>
      <w:r>
        <w:t xml:space="preserve">Global Sales Strategy Group |</w:t>
      </w:r>
      <w:r>
        <w:t xml:space="preserve"> </w:t>
      </w:r>
      <w:r>
        <w:rPr>
          <w:bCs/>
          <w:b/>
        </w:rPr>
        <w:t xml:space="preserve">Contact:</w:t>
      </w:r>
      <w:r>
        <w:t xml:space="preserve"> </w:t>
      </w:r>
      <w:r>
        <w:t xml:space="preserve">sales.report@company.com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Strategic Advancements in China Beijing Market</dc:title>
  <dc:creator/>
  <dc:language>en</dc:language>
  <cp:keywords/>
  <dcterms:created xsi:type="dcterms:W3CDTF">2026-07-17T19:01:05Z</dcterms:created>
  <dcterms:modified xsi:type="dcterms:W3CDTF">2026-07-17T19:01:05Z</dcterms:modified>
</cp:coreProperties>
</file>

<file path=docProps/custom.xml><?xml version="1.0" encoding="utf-8"?>
<Properties xmlns="http://schemas.openxmlformats.org/officeDocument/2006/custom-properties" xmlns:vt="http://schemas.openxmlformats.org/officeDocument/2006/docPropsVTypes"/>
</file>