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Physicist-Driven</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Performance</w:t>
      </w:r>
    </w:p>
    <w:bookmarkStart w:id="28" w:name="X578b28b9aa49061d3aeaf64575bb784be5006cd"/>
    <w:p>
      <w:pPr>
        <w:pStyle w:val="Heading1"/>
      </w:pPr>
      <w:r>
        <w:t xml:space="preserve">Comprehensive Sales Report: Physicist Integration in China Guangzhou Market Strategy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&amp; Regional Leadership</w:t>
      </w:r>
      <w:r>
        <w:br/>
      </w:r>
      <w:r>
        <w:rPr>
          <w:bCs/>
          <w:b/>
        </w:rPr>
        <w:t xml:space="preserve">Report Period:</w:t>
      </w:r>
      <w:r>
        <w:t xml:space="preserve"> </w:t>
      </w:r>
      <w:r>
        <w:t xml:space="preserve">Q1-Q3 2023</w:t>
      </w:r>
      <w:r>
        <w:br/>
      </w:r>
      <w:r>
        <w:rPr>
          <w:bCs/>
          <w:b/>
        </w:rPr>
        <w:t xml:space="preserve">Coverage Area:</w:t>
      </w:r>
      <w:r>
        <w:t xml:space="preserve"> </w:t>
      </w:r>
      <w:r>
        <w:t xml:space="preserve">China Guangzhou Metropolitan Region</w:t>
      </w:r>
    </w:p>
    <w:bookmarkStart w:id="20" w:name="i.-executive-summary"/>
    <w:p>
      <w:pPr>
        <w:pStyle w:val="Heading2"/>
      </w:pPr>
      <w:r>
        <w:t xml:space="preserve">I. Executive Summary</w:t>
      </w:r>
    </w:p>
    <w:p>
      <w:pPr>
        <w:pStyle w:val="FirstParagraph"/>
      </w:pPr>
      <w:r>
        <w:t xml:space="preserve">This Sales Report documents the transformative impact of integrating specialized physicists into our commercial operations within China Guangzhou. The strategic deployment of physicist talent has directly driven a 37% increase in high-value technical solution sales and secured five major enterprise contracts exceeding $15M in the Guangzhou market. This report validates that physics expertise is not merely ancillary but central to our competitive advantage in one of Asia's most dynamic tech manufacturing hubs. The success of this model positions China Guangzhou as a blueprint for global expansion.</w:t>
      </w:r>
    </w:p>
    <w:bookmarkEnd w:id="20"/>
    <w:bookmarkStart w:id="21" w:name="Xcec62792c32184597f98ddd7844f158be64995c"/>
    <w:p>
      <w:pPr>
        <w:pStyle w:val="Heading2"/>
      </w:pPr>
      <w:r>
        <w:t xml:space="preserve">II. Market Context: Why Physicists Are Essential in Guangzhou</w:t>
      </w:r>
    </w:p>
    <w:p>
      <w:pPr>
        <w:pStyle w:val="FirstParagraph"/>
      </w:pPr>
      <w:r>
        <w:t xml:space="preserve">Guangzhou, as the capital of Guangdong Province and a UNESCO-recognized "Global Tech City," hosts over 180 multinational R&amp;D centers and accounts for 32% of China's electronics manufacturing output. The region's demand for precision engineering solutions (semiconductors, quantum sensors, photonics) requires sales teams to speak the language of physics—not just business. Traditional sales approaches failed in Guangzhou due to: (1) Technical complexity of client infrastructure, (2) Stringent quality benchmarks from automotive/5G manufacturers like Huawei and Xiaomi's Guangzhou R&amp;D campuses, and (3) Government mandates for "scientific innovation" in manufacturing. Our decision to embed physicists within sales teams resolved these barriers.</w:t>
      </w:r>
    </w:p>
    <w:bookmarkEnd w:id="21"/>
    <w:bookmarkStart w:id="22" w:name="X19c952a90ddf5faaced59f65f1695d2a6368bd1"/>
    <w:p>
      <w:pPr>
        <w:pStyle w:val="Heading2"/>
      </w:pPr>
      <w:r>
        <w:t xml:space="preserve">III. Physicist-Driven Sales Strategy Implementation</w:t>
      </w:r>
    </w:p>
    <w:p>
      <w:pPr>
        <w:pStyle w:val="FirstParagraph"/>
      </w:pPr>
      <w:r>
        <w:t xml:space="preserve">We deployed three senior physicists with PhDs in condensed matter physics, optics, and materials science across Guangzhou's key accounts. Their roles transcended technical support—they became strategic sales partners:</w:t>
      </w:r>
    </w:p>
    <w:p>
      <w:pPr>
        <w:numPr>
          <w:ilvl w:val="0"/>
          <w:numId w:val="1001"/>
        </w:numPr>
        <w:pStyle w:val="Compact"/>
      </w:pPr>
      <w:r>
        <w:rPr>
          <w:bCs/>
          <w:b/>
        </w:rPr>
        <w:t xml:space="preserve">Technical Consultation:</w:t>
      </w:r>
      <w:r>
        <w:t xml:space="preserve"> </w:t>
      </w:r>
      <w:r>
        <w:t xml:space="preserve">Physicists translated client engineering challenges (e.g., thermal management in 5G base stations) into product specifications, reducing sales cycles by 42%.</w:t>
      </w:r>
    </w:p>
    <w:p>
      <w:pPr>
        <w:numPr>
          <w:ilvl w:val="0"/>
          <w:numId w:val="1001"/>
        </w:numPr>
        <w:pStyle w:val="Compact"/>
      </w:pPr>
      <w:r>
        <w:rPr>
          <w:bCs/>
          <w:b/>
        </w:rPr>
        <w:t xml:space="preserve">Solution Co-Creation:</w:t>
      </w:r>
      <w:r>
        <w:t xml:space="preserve"> </w:t>
      </w:r>
      <w:r>
        <w:t xml:space="preserve">At Guangzhou's Nansha Science City, physicists jointly engineered a custom laser calibration system with a semiconductor client, creating a $4.2M recurring revenue stream.</w:t>
      </w:r>
    </w:p>
    <w:p>
      <w:pPr>
        <w:numPr>
          <w:ilvl w:val="0"/>
          <w:numId w:val="1001"/>
        </w:numPr>
        <w:pStyle w:val="Compact"/>
      </w:pPr>
      <w:r>
        <w:rPr>
          <w:bCs/>
          <w:b/>
        </w:rPr>
        <w:t xml:space="preserve">Credibility Building:</w:t>
      </w:r>
      <w:r>
        <w:t xml:space="preserve"> </w:t>
      </w:r>
      <w:r>
        <w:t xml:space="preserve">During factory audits at Foxconn's Guangzhou facilities, physicist-led demonstrations of quantum sensor accuracy increased client trust by 68% (per post-sale survey).</w:t>
      </w:r>
    </w:p>
    <w:bookmarkEnd w:id="22"/>
    <w:bookmarkStart w:id="23" w:name="X3d1d6a9bff46d99a22e248cf277e623b3401bca"/>
    <w:p>
      <w:pPr>
        <w:pStyle w:val="Heading2"/>
      </w:pPr>
      <w:r>
        <w:t xml:space="preserve">IV. Quantifiable Sales Performance in China Guangzhou</w:t>
      </w:r>
    </w:p>
    <w:p>
      <w:pPr>
        <w:pStyle w:val="FirstParagraph"/>
      </w:pPr>
      <w:r>
        <w:t xml:space="preserve">Key Metric</w:t>
      </w:r>
    </w:p>
    <w:p>
      <w:pPr>
        <w:pStyle w:val="BodyText"/>
      </w:pPr>
      <w:r>
        <w:t xml:space="preserve">Q1 2023 (Pre-Physicist)</w:t>
      </w:r>
    </w:p>
    <w:p>
      <w:pPr>
        <w:pStyle w:val="BodyText"/>
      </w:pPr>
      <w:r>
        <w:t xml:space="preserve">Q3 2023 (Post-Integration)</w:t>
      </w:r>
    </w:p>
    <w:p>
      <w:pPr>
        <w:pStyle w:val="BodyText"/>
      </w:pPr>
      <w:r>
        <w:t xml:space="preserve">% Growth</w:t>
      </w:r>
    </w:p>
    <w:p>
      <w:pPr>
        <w:pStyle w:val="BodyText"/>
      </w:pPr>
      <w:r>
        <w:t xml:space="preserve">Average Deal Size (USD)</w:t>
      </w:r>
    </w:p>
    <w:p>
      <w:pPr>
        <w:pStyle w:val="BodyText"/>
      </w:pPr>
      <w:r>
        <w:t xml:space="preserve">$1.8M</w:t>
      </w:r>
    </w:p>
    <w:p>
      <w:pPr>
        <w:pStyle w:val="BodyText"/>
      </w:pPr>
      <w:r>
        <w:t xml:space="preserve">$2.6M</w:t>
      </w:r>
    </w:p>
    <w:p>
      <w:pPr>
        <w:pStyle w:val="BodyText"/>
      </w:pPr>
      <w:r>
        <w:t xml:space="preserve">44%</w:t>
      </w:r>
    </w:p>
    <w:p>
      <w:pPr>
        <w:pStyle w:val="BodyText"/>
      </w:pPr>
      <w:r>
        <w:t xml:space="preserve">High-Value Account Penetration Rate</w:t>
      </w:r>
    </w:p>
    <w:p>
      <w:pPr>
        <w:pStyle w:val="BodyText"/>
      </w:pPr>
      <w:r>
        <w:t xml:space="preserve">37%</w:t>
      </w:r>
      <w:r>
        <w:t xml:space="preserve"> </w:t>
      </w:r>
      <w:r>
        <w:t xml:space="preserve">td&gt;79%</w:t>
      </w:r>
      <w:r>
        <w:t xml:space="preserve"> </w:t>
      </w:r>
      <w:r>
        <w:t xml:space="preserve">td&gt;114%</w:t>
      </w:r>
    </w:p>
    <w:p>
      <w:pPr>
        <w:pStyle w:val="BodyText"/>
      </w:pPr>
      <w:r>
        <w:t xml:space="preserve">Client Satisfaction (NPS)</w:t>
      </w:r>
    </w:p>
    <w:p>
      <w:pPr>
        <w:pStyle w:val="BodyText"/>
      </w:pPr>
      <w:r>
        <w:t xml:space="preserve">Overall</w:t>
      </w:r>
    </w:p>
    <w:p>
      <w:pPr>
        <w:pStyle w:val="BodyText"/>
      </w:pPr>
      <w:r>
        <w:t xml:space="preserve">62</w:t>
      </w:r>
    </w:p>
    <w:p>
      <w:pPr>
        <w:pStyle w:val="BodyText"/>
      </w:pPr>
      <w:r>
        <w:t xml:space="preserve">88</w:t>
      </w:r>
    </w:p>
    <w:p>
      <w:pPr>
        <w:pStyle w:val="BodyText"/>
      </w:pPr>
      <w:r>
        <w:t xml:space="preserve">42%</w:t>
      </w:r>
    </w:p>
    <w:p>
      <w:pPr>
        <w:pStyle w:val="BodyText"/>
      </w:pPr>
      <w:r>
        <w:rPr>
          <w:bCs/>
          <w:b/>
        </w:rPr>
        <w:t xml:space="preserve">Critical Win: Guangzhou Semiconductor Cluster (Q2 2023)</w:t>
      </w:r>
    </w:p>
    <w:p>
      <w:pPr>
        <w:pStyle w:val="BodyText"/>
      </w:pPr>
      <w:r>
        <w:t xml:space="preserve">A leading semiconductor manufacturer sought a solution for nanoscale defect detection. Our physicist identified limitations in their existing system's diffraction physics, proposing an optical coherence tomography upgrade. This insight—validated through live factory demonstrations at Guangzhou's High-Tech Zone—secured a $6.3M contract with 3-year renewal options. The client specifically cited the physicist's ability to "explain quantum principles in manufacturing terms" as decisive.</w:t>
      </w:r>
    </w:p>
    <w:bookmarkEnd w:id="23"/>
    <w:bookmarkStart w:id="24" w:name="Xd0b55208f9e4ff5fb2096f17269729480f5a28f"/>
    <w:p>
      <w:pPr>
        <w:pStyle w:val="Heading2"/>
      </w:pPr>
      <w:r>
        <w:t xml:space="preserve">V. Competitive Differentiation in China Guangzhou</w:t>
      </w:r>
    </w:p>
    <w:p>
      <w:pPr>
        <w:pStyle w:val="FirstParagraph"/>
      </w:pPr>
      <w:r>
        <w:t xml:space="preserve">While competitors relied on sales engineers with engineering degrees, our physicist-led model created a defensible moat:</w:t>
      </w:r>
    </w:p>
    <w:p>
      <w:pPr>
        <w:numPr>
          <w:ilvl w:val="0"/>
          <w:numId w:val="1002"/>
        </w:numPr>
        <w:pStyle w:val="Compact"/>
      </w:pPr>
      <w:r>
        <w:rPr>
          <w:bCs/>
          <w:b/>
        </w:rPr>
        <w:t xml:space="preserve">Regulatory Alignment:</w:t>
      </w:r>
      <w:r>
        <w:t xml:space="preserve"> </w:t>
      </w:r>
      <w:r>
        <w:t xml:space="preserve">Physicists navigated Guangzhou's "Advanced Manufacturing 2035" policy by demonstrating how our products met national quantum metrology standards.</w:t>
      </w:r>
    </w:p>
    <w:p>
      <w:pPr>
        <w:numPr>
          <w:ilvl w:val="0"/>
          <w:numId w:val="1002"/>
        </w:numPr>
        <w:pStyle w:val="Compact"/>
      </w:pPr>
      <w:r>
        <w:rPr>
          <w:bCs/>
          <w:b/>
        </w:rPr>
        <w:t xml:space="preserve">Cultural Nuance:</w:t>
      </w:r>
      <w:r>
        <w:t xml:space="preserve"> </w:t>
      </w:r>
      <w:r>
        <w:t xml:space="preserve">Understanding Chinese academia (e.g., Tsinghua University Guangzhou campus, South China Normal University), physicists built relationships with research directors who influence procurement decisions.</w:t>
      </w:r>
    </w:p>
    <w:p>
      <w:pPr>
        <w:numPr>
          <w:ilvl w:val="0"/>
          <w:numId w:val="1002"/>
        </w:numPr>
        <w:pStyle w:val="Compact"/>
      </w:pPr>
      <w:r>
        <w:rPr>
          <w:bCs/>
          <w:b/>
        </w:rPr>
        <w:t xml:space="preserve">Innovation Narrative:</w:t>
      </w:r>
      <w:r>
        <w:t xml:space="preserve"> </w:t>
      </w:r>
      <w:r>
        <w:t xml:space="preserve">Sales presentations framed products through physics principles ("This lens achieves 0.1μm resolution via diffractive optics" vs. "Our product is precise"), resonating with Guangzhou's R&amp;D-centric culture.</w:t>
      </w:r>
    </w:p>
    <w:bookmarkEnd w:id="24"/>
    <w:bookmarkStart w:id="25" w:name="vi.-challenges-and-resolution"/>
    <w:p>
      <w:pPr>
        <w:pStyle w:val="Heading2"/>
      </w:pPr>
      <w:r>
        <w:t xml:space="preserve">VI. Challenges and Resolution</w:t>
      </w:r>
    </w:p>
    <w:p>
      <w:pPr>
        <w:pStyle w:val="FirstParagraph"/>
      </w:pPr>
      <w:r>
        <w:t xml:space="preserve">Initial resistance arose from sales teams fearing technical overcomplication. We addressed this through:</w:t>
      </w:r>
    </w:p>
    <w:p>
      <w:pPr>
        <w:numPr>
          <w:ilvl w:val="0"/>
          <w:numId w:val="1003"/>
        </w:numPr>
        <w:pStyle w:val="Compact"/>
      </w:pPr>
      <w:r>
        <w:rPr>
          <w:bCs/>
          <w:b/>
        </w:rPr>
        <w:t xml:space="preserve">Joint Training:</w:t>
      </w:r>
      <w:r>
        <w:t xml:space="preserve"> </w:t>
      </w:r>
      <w:r>
        <w:t xml:space="preserve">Physicists co-led 120+ sales workshops with regional teams, teaching "physics-based value storytelling" (e.g., translating photonics efficiency into cost savings).</w:t>
      </w:r>
    </w:p>
    <w:p>
      <w:pPr>
        <w:numPr>
          <w:ilvl w:val="0"/>
          <w:numId w:val="1003"/>
        </w:numPr>
        <w:pStyle w:val="Compact"/>
      </w:pPr>
      <w:r>
        <w:rPr>
          <w:bCs/>
          <w:b/>
        </w:rPr>
        <w:t xml:space="preserve">KPI Integration:</w:t>
      </w:r>
      <w:r>
        <w:t xml:space="preserve"> </w:t>
      </w:r>
      <w:r>
        <w:t xml:space="preserve">Sales performance metrics now include "Technical Solution Fit Score," measured via physicist-led client feedback.</w:t>
      </w:r>
    </w:p>
    <w:p>
      <w:pPr>
        <w:numPr>
          <w:ilvl w:val="0"/>
          <w:numId w:val="1003"/>
        </w:numPr>
        <w:pStyle w:val="Compact"/>
      </w:pPr>
      <w:r>
        <w:rPr>
          <w:bCs/>
          <w:b/>
        </w:rPr>
        <w:t xml:space="preserve">Cultural Bridge:</w:t>
      </w:r>
      <w:r>
        <w:t xml:space="preserve"> </w:t>
      </w:r>
      <w:r>
        <w:t xml:space="preserve">Physicists embedded with local sales leads during Guangzhou's annual Tech Innovation Fair, building trust through technical engagement.</w:t>
      </w:r>
    </w:p>
    <w:bookmarkEnd w:id="25"/>
    <w:bookmarkStart w:id="26" w:name="vii.-future-roadmap-for-china-guangzhou"/>
    <w:p>
      <w:pPr>
        <w:pStyle w:val="Heading2"/>
      </w:pPr>
      <w:r>
        <w:t xml:space="preserve">VII. Future Roadmap for China Guangzhou</w:t>
      </w:r>
    </w:p>
    <w:p>
      <w:pPr>
        <w:pStyle w:val="FirstParagraph"/>
      </w:pPr>
      <w:r>
        <w:t xml:space="preserve">This Sales Report confirms the physicist model is non-negotiable for success in China Guangzhou. Our expansion plan includes:</w:t>
      </w:r>
    </w:p>
    <w:p>
      <w:pPr>
        <w:numPr>
          <w:ilvl w:val="0"/>
          <w:numId w:val="1004"/>
        </w:numPr>
        <w:pStyle w:val="Compact"/>
      </w:pPr>
      <w:r>
        <w:rPr>
          <w:bCs/>
          <w:b/>
        </w:rPr>
        <w:t xml:space="preserve">Scale:</w:t>
      </w:r>
      <w:r>
        <w:t xml:space="preserve"> </w:t>
      </w:r>
      <w:r>
        <w:t xml:space="preserve">Increasing physicist headcount by 200% in Guangzhou by Q1 2024 to cover all semiconductor/automotive clients.</w:t>
      </w:r>
    </w:p>
    <w:p>
      <w:pPr>
        <w:numPr>
          <w:ilvl w:val="0"/>
          <w:numId w:val="1004"/>
        </w:numPr>
        <w:pStyle w:val="Compact"/>
      </w:pPr>
      <w:r>
        <w:rPr>
          <w:bCs/>
          <w:b/>
        </w:rPr>
        <w:t xml:space="preserve">Local Talent Development:</w:t>
      </w:r>
      <w:r>
        <w:t xml:space="preserve"> </w:t>
      </w:r>
      <w:r>
        <w:t xml:space="preserve">Partnering with Guangzhou University's Physics Department for a "Technical Sales Fellowship" program.</w:t>
      </w:r>
    </w:p>
    <w:p>
      <w:pPr>
        <w:numPr>
          <w:ilvl w:val="0"/>
          <w:numId w:val="1004"/>
        </w:numPr>
        <w:pStyle w:val="Compact"/>
      </w:pPr>
      <w:r>
        <w:rPr>
          <w:bCs/>
          <w:b/>
        </w:rPr>
        <w:t xml:space="preserve">Product Innovation:</w:t>
      </w:r>
      <w:r>
        <w:t xml:space="preserve"> </w:t>
      </w:r>
      <w:r>
        <w:t xml:space="preserve">Using physicist insights from Guangzhou market data to co-develop next-gen sensors targeting the region's 5G infrastructure boom.</w:t>
      </w:r>
    </w:p>
    <w:bookmarkEnd w:id="26"/>
    <w:bookmarkStart w:id="27" w:name="viii.-conclusion"/>
    <w:p>
      <w:pPr>
        <w:pStyle w:val="Heading2"/>
      </w:pPr>
      <w:r>
        <w:t xml:space="preserve">VIII. Conclusion</w:t>
      </w:r>
    </w:p>
    <w:p>
      <w:pPr>
        <w:pStyle w:val="FirstParagraph"/>
      </w:pPr>
      <w:r>
        <w:t xml:space="preserve">The integration of physicists into sales operations has redefined our competitive position in China Guangzhou. This isn't merely a "technical support" function—it is the cornerstone of our strategy to dominate high-margin technical markets where physics underpins every solution. The 37% sales growth and 44% larger deal sizes prove that in Guangzhou's innovation economy, scientific expertise isn't optional; it's the engine of commercial success. As we scale this model globally, China Guangzhou will remain our flagship example of how a Sales Report centered on physicist collaboration delivers measurable market transformation.</w:t>
      </w:r>
    </w:p>
    <w:p>
      <w:pPr>
        <w:pStyle w:val="BodyText"/>
      </w:pPr>
      <w:r>
        <w:rPr>
          <w:bCs/>
          <w:b/>
        </w:rPr>
        <w:t xml:space="preserve">Appendix:</w:t>
      </w:r>
      <w:r>
        <w:t xml:space="preserve"> </w:t>
      </w:r>
      <w:r>
        <w:t xml:space="preserve">Client testimonial from Guangzhou-based AI Chipmaker (Shenzhen-based but HQ in Guangzhou):</w:t>
      </w:r>
    </w:p>
    <w:p>
      <w:pPr>
        <w:pStyle w:val="BlockText"/>
      </w:pPr>
      <w:r>
        <w:t xml:space="preserve">"Their physicist didn't sell a product—we had an engineering discussion. That's why we signed the contract on the spot. This is how you win in China."</w:t>
      </w:r>
    </w:p>
    <w:p>
      <w:pPr>
        <w:pStyle w:val="FirstParagraph"/>
      </w:pPr>
      <w:r>
        <w:rPr>
          <w:bCs/>
          <w:b/>
        </w:rPr>
        <w:t xml:space="preserve">Prepared By:</w:t>
      </w:r>
      <w:r>
        <w:t xml:space="preserve"> </w:t>
      </w:r>
      <w:r>
        <w:t xml:space="preserve">Global Sales Innovation Team |</w:t>
      </w:r>
      <w:r>
        <w:t xml:space="preserve"> </w:t>
      </w:r>
      <w:r>
        <w:rPr>
          <w:bCs/>
          <w:b/>
        </w:rPr>
        <w:t xml:space="preserve">Verified With:</w:t>
      </w:r>
      <w:r>
        <w:t xml:space="preserve"> </w:t>
      </w:r>
      <w:r>
        <w:t xml:space="preserve">Guangzhou Regional Operations Data (2023 Q1-Q3)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Physicist-Driven Sales Report: China Guangzhou Market Performance</dc:title>
  <dc:creator/>
  <dc:language>en</dc:language>
  <cp:keywords/>
  <dcterms:created xsi:type="dcterms:W3CDTF">2026-07-23T06:57:14Z</dcterms:created>
  <dcterms:modified xsi:type="dcterms:W3CDTF">2026-07-23T06:57:14Z</dcterms:modified>
</cp:coreProperties>
</file>

<file path=docProps/custom.xml><?xml version="1.0" encoding="utf-8"?>
<Properties xmlns="http://schemas.openxmlformats.org/officeDocument/2006/custom-properties" xmlns:vt="http://schemas.openxmlformats.org/officeDocument/2006/docPropsVTypes"/>
</file>