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8" w:name="X4ad7aaff4382931b698293343631b6869e2f58d"/>
    <w:p>
      <w:pPr>
        <w:pStyle w:val="Heading1"/>
      </w:pPr>
      <w:r>
        <w:t xml:space="preserve">Comprehensive Sales Report: Quantum Physics Instrumentation Market in China Shanghai (Q3 2023)</w:t>
      </w:r>
    </w:p>
    <w:bookmarkStart w:id="20" w:name="executive-summary"/>
    <w:p>
      <w:pPr>
        <w:pStyle w:val="Heading2"/>
      </w:pPr>
      <w:r>
        <w:t xml:space="preserve">Executive Summary</w:t>
      </w:r>
    </w:p>
    <w:p>
      <w:pPr>
        <w:pStyle w:val="FirstParagraph"/>
      </w:pPr>
      <w:r>
        <w:t xml:space="preserve">This Sales Report details the strategic performance of our advanced physics instrumentation portfolio across the Shanghai market during Q3 2023. With Shanghai emerging as China's premier hub for fundamental physics research, this report confirms a 37% year-over-year growth in sales targeting professional</w:t>
      </w:r>
      <w:r>
        <w:t xml:space="preserve"> </w:t>
      </w:r>
      <w:r>
        <w:rPr>
          <w:bCs/>
          <w:b/>
        </w:rPr>
        <w:t xml:space="preserve">Physicist</w:t>
      </w:r>
      <w:r>
        <w:t xml:space="preserve"> </w:t>
      </w:r>
      <w:r>
        <w:t xml:space="preserve">communities. Our solutions—specializing in quantum computing hardware and precision measurement tools—have secured critical partnerships with leading institutions including Shanghai Jiao Tong University, the Chinese Academy of Sciences' Shanghai Branch, and the National Center for Quantum Information Sciences. The success underscores Shanghai's position as the epicenter of China's physics innovation ecosystem.</w:t>
      </w:r>
    </w:p>
    <w:bookmarkEnd w:id="20"/>
    <w:bookmarkStart w:id="21" w:name="X97375dd441538b1a8fcafa61fb5d1fe7db51191"/>
    <w:p>
      <w:pPr>
        <w:pStyle w:val="Heading2"/>
      </w:pPr>
      <w:r>
        <w:t xml:space="preserve">Market Context: Why Shanghai Matters for Physicists</w:t>
      </w:r>
    </w:p>
    <w:p>
      <w:pPr>
        <w:pStyle w:val="FirstParagraph"/>
      </w:pPr>
      <w:r>
        <w:t xml:space="preserve">China Shanghai has evolved into an indispensable territory for global physics research due to its unparalleled concentration of high-energy physics laboratories, government-funded quantum initiatives (e.g., the $10B Quantum Information Science National Laboratory), and strategic proximity to manufacturing ecosystems. As a Sales Report anchor, this region accounts for 42% of China's total</w:t>
      </w:r>
      <w:r>
        <w:t xml:space="preserve"> </w:t>
      </w:r>
      <w:r>
        <w:rPr>
          <w:bCs/>
          <w:b/>
        </w:rPr>
        <w:t xml:space="preserve">Physicist</w:t>
      </w:r>
      <w:r>
        <w:t xml:space="preserve">-driven instrumentation demand. The Shanghai Municipal Government's "Quantum Shanghai" initiative—which allocates 30% more R&amp;D funding to physics research than previous years—has directly fueled our market expansion. This report demonstrates how our solutions align with Shanghai's scientific priorities, positioning us as the preferred partner for</w:t>
      </w:r>
      <w:r>
        <w:t xml:space="preserve"> </w:t>
      </w:r>
      <w:r>
        <w:rPr>
          <w:bCs/>
          <w:b/>
        </w:rPr>
        <w:t xml:space="preserve">Physicist</w:t>
      </w:r>
      <w:r>
        <w:t xml:space="preserve"> </w:t>
      </w:r>
      <w:r>
        <w:t xml:space="preserve">communities seeking cutting-edge tools.</w:t>
      </w:r>
    </w:p>
    <w:bookmarkEnd w:id="21"/>
    <w:bookmarkStart w:id="22" w:name="X3f3736556ab20747de605535b17620efde47a78"/>
    <w:p>
      <w:pPr>
        <w:pStyle w:val="Heading2"/>
      </w:pPr>
      <w:r>
        <w:t xml:space="preserve">Key Sales Performance Metrics (Shanghai Q3 2023)</w:t>
      </w:r>
    </w:p>
    <w:p>
      <w:pPr>
        <w:pStyle w:val="FirstParagraph"/>
      </w:pPr>
      <w:r>
        <w:t xml:space="preserve">Product Line</w:t>
      </w:r>
    </w:p>
    <w:p>
      <w:pPr>
        <w:pStyle w:val="BodyText"/>
      </w:pPr>
      <w:r>
        <w:t xml:space="preserve">Sales Volume</w:t>
      </w:r>
    </w:p>
    <w:p>
      <w:pPr>
        <w:pStyle w:val="BodyText"/>
      </w:pPr>
      <w:r>
        <w:t xml:space="preserve">% YoY Growth</w:t>
      </w:r>
    </w:p>
    <w:p>
      <w:pPr>
        <w:pStyle w:val="BodyText"/>
      </w:pPr>
      <w:r>
        <w:t xml:space="preserve">Key Institutions Acquired</w:t>
      </w:r>
    </w:p>
    <w:p>
      <w:pPr>
        <w:pStyle w:val="BodyText"/>
      </w:pPr>
      <w:r>
        <w:t xml:space="preserve">Quantum Sensing Modules (QSM-9)</w:t>
      </w:r>
    </w:p>
    <w:p>
      <w:pPr>
        <w:pStyle w:val="BodyText"/>
      </w:pPr>
      <w:r>
        <w:t xml:space="preserve">147 units</w:t>
      </w:r>
    </w:p>
    <w:p>
      <w:pPr>
        <w:pStyle w:val="BodyText"/>
      </w:pPr>
      <w:r>
        <w:t xml:space="preserve">+52%</w:t>
      </w:r>
    </w:p>
    <w:p>
      <w:pPr>
        <w:pStyle w:val="BodyText"/>
      </w:pPr>
      <w:r>
        <w:t xml:space="preserve">ShanghaiTech University, CAS Shanghai</w:t>
      </w:r>
    </w:p>
    <w:p>
      <w:pPr>
        <w:pStyle w:val="BodyText"/>
      </w:pPr>
      <w:r>
        <w:t xml:space="preserve">Laser Interferometer Systems</w:t>
      </w:r>
    </w:p>
    <w:p>
      <w:pPr>
        <w:pStyle w:val="BodyText"/>
      </w:pPr>
      <w:r>
        <w:t xml:space="preserve">&lt;</w:t>
      </w:r>
    </w:p>
    <w:p>
      <w:pPr>
        <w:pStyle w:val="BodyText"/>
      </w:pPr>
      <w:r>
        <w:t xml:space="preserve">89 units</w:t>
      </w:r>
    </w:p>
    <w:p>
      <w:pPr>
        <w:pStyle w:val="BodyText"/>
      </w:pPr>
      <w:r>
        <w:t xml:space="preserve">+33%</w:t>
      </w:r>
    </w:p>
    <w:p>
      <w:pPr>
        <w:pStyle w:val="BodyText"/>
      </w:pPr>
      <w:r>
        <w:t xml:space="preserve">National Precision Measurement Lab, Fudan Physics Dept.</w:t>
      </w:r>
    </w:p>
    <w:p>
      <w:pPr>
        <w:pStyle w:val="BodyText"/>
      </w:pPr>
      <w:r>
        <w:t xml:space="preserve">Quantum Computing Control Units</w:t>
      </w:r>
    </w:p>
    <w:p>
      <w:pPr>
        <w:pStyle w:val="BodyText"/>
      </w:pPr>
      <w:r>
        <w:t xml:space="preserve">62 units</w:t>
      </w:r>
    </w:p>
    <w:p>
      <w:pPr>
        <w:pStyle w:val="BodyText"/>
      </w:pPr>
      <w:r>
        <w:t xml:space="preserve">+68%</w:t>
      </w:r>
    </w:p>
    <w:p>
      <w:pPr>
        <w:pStyle w:val="BodyText"/>
      </w:pPr>
      <w:r>
        <w:t xml:space="preserve">Shanghai Quantum Innovation Center, Tongji University</w:t>
      </w:r>
    </w:p>
    <w:p>
      <w:pPr>
        <w:pStyle w:val="BodyText"/>
      </w:pPr>
      <w:r>
        <w:t xml:space="preserve">The sales momentum reflects our targeted approach to</w:t>
      </w:r>
      <w:r>
        <w:t xml:space="preserve"> </w:t>
      </w:r>
      <w:r>
        <w:rPr>
          <w:bCs/>
          <w:b/>
        </w:rPr>
        <w:t xml:space="preserve">Physicist</w:t>
      </w:r>
      <w:r>
        <w:t xml:space="preserve"> </w:t>
      </w:r>
      <w:r>
        <w:t xml:space="preserve">workflows. For instance, our QSM-9 modules—specifically engineered for gravitational wave detection in Shanghai's new LIGO collaboration—saw 3x adoption velocity compared to national averages. The 68% growth in quantum control units directly correlates with Shanghai's launch of its first commercial quantum processor (Q-1), where our systems now power 70% of pilot operations. This performance validates our sales strategy centered on</w:t>
      </w:r>
      <w:r>
        <w:t xml:space="preserve"> </w:t>
      </w:r>
      <w:r>
        <w:rPr>
          <w:bCs/>
          <w:b/>
        </w:rPr>
        <w:t xml:space="preserve">Physicist</w:t>
      </w:r>
      <w:r>
        <w:t xml:space="preserve"> </w:t>
      </w:r>
      <w:r>
        <w:t xml:space="preserve">collaboration, not just transactional selling.</w:t>
      </w:r>
    </w:p>
    <w:bookmarkEnd w:id="22"/>
    <w:bookmarkStart w:id="23" w:name="X477f11c2661fdaa1ed41e2aa6c7d7908aebf868"/>
    <w:p>
      <w:pPr>
        <w:pStyle w:val="Heading2"/>
      </w:pPr>
      <w:r>
        <w:t xml:space="preserve">Strategic Insights: The Shanghai Physicist Ecosystem</w:t>
      </w:r>
    </w:p>
    <w:p>
      <w:pPr>
        <w:pStyle w:val="FirstParagraph"/>
      </w:pPr>
      <w:r>
        <w:t xml:space="preserve">In developing this Sales Report, we conducted deep-field analysis of Shanghai's physicist community through 120+ institutional interviews. Key findings include:</w:t>
      </w:r>
    </w:p>
    <w:p>
      <w:pPr>
        <w:numPr>
          <w:ilvl w:val="0"/>
          <w:numId w:val="1001"/>
        </w:numPr>
        <w:pStyle w:val="Compact"/>
      </w:pPr>
      <w:r>
        <w:rPr>
          <w:bCs/>
          <w:b/>
        </w:rPr>
        <w:t xml:space="preserve">Research Priorities Shift:</w:t>
      </w:r>
      <w:r>
        <w:t xml:space="preserve"> </w:t>
      </w:r>
      <w:r>
        <w:t xml:space="preserve">83% of Shanghai-based physicists prioritize quantum applications over traditional particle physics, directly driving demand for our quantum control units.</w:t>
      </w:r>
    </w:p>
    <w:p>
      <w:pPr>
        <w:numPr>
          <w:ilvl w:val="0"/>
          <w:numId w:val="1001"/>
        </w:numPr>
        <w:pStyle w:val="Compact"/>
      </w:pPr>
      <w:r>
        <w:rPr>
          <w:bCs/>
          <w:b/>
        </w:rPr>
        <w:t xml:space="preserve">Cross-Institutional Collaboration:</w:t>
      </w:r>
      <w:r>
        <w:t xml:space="preserve"> </w:t>
      </w:r>
      <w:r>
        <w:t xml:space="preserve">Shanghai's physics ecosystem features 17 joint ventures between universities and industry (e.g., Huawei-FTU Quantum Lab), creating consolidated procurement opportunities we've capitalized on with bundled solutions.</w:t>
      </w:r>
    </w:p>
    <w:p>
      <w:pPr>
        <w:numPr>
          <w:ilvl w:val="0"/>
          <w:numId w:val="1001"/>
        </w:numPr>
        <w:pStyle w:val="Compact"/>
      </w:pPr>
      <w:r>
        <w:rPr>
          <w:bCs/>
          <w:b/>
        </w:rPr>
        <w:t xml:space="preserve">Regulatory Tailwinds:</w:t>
      </w:r>
      <w:r>
        <w:t xml:space="preserve"> </w:t>
      </w:r>
      <w:r>
        <w:t xml:space="preserve">The Shanghai Free Trade Zone's streamlined import policies for scientific equipment reduced deployment timelines by 40%, accelerating our sales cycles in this region.</w:t>
      </w:r>
    </w:p>
    <w:bookmarkEnd w:id="23"/>
    <w:bookmarkStart w:id="24" w:name="X02325d53b65d20e8d63f2da3ae97d2ea9ad934b"/>
    <w:p>
      <w:pPr>
        <w:pStyle w:val="Heading2"/>
      </w:pPr>
      <w:r>
        <w:t xml:space="preserve">Competitive Differentiation in China Shanghai</w:t>
      </w:r>
    </w:p>
    <w:p>
      <w:pPr>
        <w:pStyle w:val="FirstParagraph"/>
      </w:pPr>
      <w:r>
        <w:t xml:space="preserve">While competitors offer generic instrumentation, our Sales Report highlights how we outperform through physicist-centric engagement. Our "Quantum Physicist Alliance" program—providing on-site technical support from certified physicists—has secured 89% of new contracts in Shanghai. For example, at the newly established Shanghai Institute of Quantum Sciences (SIQS), our dedicated physicist engineers reduced system calibration time by 65%, directly addressing a pain point cited in 74% of prospect surveys. This human-centric model is now the benchmark for physics instrumentation sales in</w:t>
      </w:r>
      <w:r>
        <w:t xml:space="preserve"> </w:t>
      </w:r>
      <w:r>
        <w:rPr>
          <w:bCs/>
          <w:b/>
        </w:rPr>
        <w:t xml:space="preserve">China Shanghai</w:t>
      </w:r>
      <w:r>
        <w:t xml:space="preserve">, differentiating us from international vendors reliant on standard support models.</w:t>
      </w:r>
    </w:p>
    <w:bookmarkEnd w:id="24"/>
    <w:bookmarkStart w:id="25" w:name="challenges-and-mitigation-strategies"/>
    <w:p>
      <w:pPr>
        <w:pStyle w:val="Heading2"/>
      </w:pPr>
      <w:r>
        <w:t xml:space="preserve">Challenges and Mitigation Strategies</w:t>
      </w:r>
    </w:p>
    <w:p>
      <w:pPr>
        <w:pStyle w:val="FirstParagraph"/>
      </w:pPr>
      <w:r>
        <w:t xml:space="preserve">Despite strong growth, two challenges emerged during our Shanghai market analysis:</w:t>
      </w:r>
    </w:p>
    <w:p>
      <w:pPr>
        <w:numPr>
          <w:ilvl w:val="0"/>
          <w:numId w:val="1002"/>
        </w:numPr>
        <w:pStyle w:val="Compact"/>
      </w:pPr>
      <w:r>
        <w:rPr>
          <w:iCs/>
          <w:i/>
        </w:rPr>
        <w:t xml:space="preserve">Supply Chain Delays:</w:t>
      </w:r>
      <w:r>
        <w:t xml:space="preserve"> </w:t>
      </w:r>
      <w:r>
        <w:t xml:space="preserve">Global semiconductor shortages impacted 15% of Q3 orders. Mitigation: We established a local Shanghai assembly hub with Fudan University's tech park, reducing lead times from 12 to 4 weeks.</w:t>
      </w:r>
    </w:p>
    <w:p>
      <w:pPr>
        <w:numPr>
          <w:ilvl w:val="0"/>
          <w:numId w:val="1002"/>
        </w:numPr>
        <w:pStyle w:val="Compact"/>
      </w:pPr>
      <w:r>
        <w:rPr>
          <w:iCs/>
          <w:i/>
        </w:rPr>
        <w:t xml:space="preserve">Competition from Local Players:</w:t>
      </w:r>
      <w:r>
        <w:t xml:space="preserve"> </w:t>
      </w:r>
      <w:r>
        <w:t xml:space="preserve">Chinese firms like Shenzhen QuantumTech offered lower prices but inferior R&amp;D support. Mitigation: Our Sales Report emphasized value-through-physicist-partnership metrics (e.g., "92% fewer system downtime hours for clients using our physicist-engineered solutions").</w:t>
      </w:r>
    </w:p>
    <w:bookmarkEnd w:id="25"/>
    <w:bookmarkStart w:id="26" w:name="forward-looking-recommendations"/>
    <w:p>
      <w:pPr>
        <w:pStyle w:val="Heading2"/>
      </w:pPr>
      <w:r>
        <w:t xml:space="preserve">Forward-Looking Recommendations</w:t>
      </w:r>
    </w:p>
    <w:p>
      <w:pPr>
        <w:pStyle w:val="FirstParagraph"/>
      </w:pPr>
      <w:r>
        <w:t xml:space="preserve">This Sales Report concludes with three strategic imperatives for sustained growth in Shanghai:</w:t>
      </w:r>
    </w:p>
    <w:p>
      <w:pPr>
        <w:numPr>
          <w:ilvl w:val="0"/>
          <w:numId w:val="1003"/>
        </w:numPr>
        <w:pStyle w:val="Compact"/>
      </w:pPr>
      <w:r>
        <w:rPr>
          <w:bCs/>
          <w:b/>
        </w:rPr>
        <w:t xml:space="preserve">Scale the Physicist Alliance:</w:t>
      </w:r>
      <w:r>
        <w:t xml:space="preserve"> </w:t>
      </w:r>
      <w:r>
        <w:t xml:space="preserve">Allocate 30% of 2024 R&amp;D budget to develop AI-assisted physics workflow tools exclusively for Shanghai institutions.</w:t>
      </w:r>
    </w:p>
    <w:p>
      <w:pPr>
        <w:numPr>
          <w:ilvl w:val="0"/>
          <w:numId w:val="1003"/>
        </w:numPr>
        <w:pStyle w:val="Compact"/>
      </w:pPr>
      <w:r>
        <w:rPr>
          <w:bCs/>
          <w:b/>
        </w:rPr>
        <w:t xml:space="preserve">Leverage Government Programs:</w:t>
      </w:r>
      <w:r>
        <w:t xml:space="preserve"> </w:t>
      </w:r>
      <w:r>
        <w:t xml:space="preserve">Partner with Shanghai's Quantum Innovation Fund to co-develop next-gen instruments (e.g., quantum sensors for biomedical applications), aligning with municipal priorities.</w:t>
      </w:r>
    </w:p>
    <w:p>
      <w:pPr>
        <w:numPr>
          <w:ilvl w:val="0"/>
          <w:numId w:val="1003"/>
        </w:numPr>
        <w:pStyle w:val="Compact"/>
      </w:pPr>
      <w:r>
        <w:rPr>
          <w:bCs/>
          <w:b/>
        </w:rPr>
        <w:t xml:space="preserve">Cultivate Next-Gen Physicists:</w:t>
      </w:r>
      <w:r>
        <w:t xml:space="preserve"> </w:t>
      </w:r>
      <w:r>
        <w:t xml:space="preserve">Launch "Quantum Bootcamps" at Shanghai universities to build brand affinity among early-career researchers—addressing the talent pipeline critical to long-term market share in China Shanghai.</w:t>
      </w:r>
    </w:p>
    <w:bookmarkEnd w:id="26"/>
    <w:bookmarkStart w:id="27" w:name="conclusion-the-shanghai-advantage"/>
    <w:p>
      <w:pPr>
        <w:pStyle w:val="Heading2"/>
      </w:pPr>
      <w:r>
        <w:t xml:space="preserve">Conclusion: The Shanghai Advantage</w:t>
      </w:r>
    </w:p>
    <w:p>
      <w:pPr>
        <w:pStyle w:val="FirstParagraph"/>
      </w:pPr>
      <w:r>
        <w:t xml:space="preserve">This Sales Report unequivocally demonstrates that targeting physicists in China Shanghai delivers outsized returns. By embedding our sales strategy within the region's physics research ecosystem—rather than treating it as a geographic market—we've achieved industry-leading growth while building strategic relevance. As Shanghai transitions from quantum research hub to commercialization leader, our physicist-centric approach positions us to capture 60% of China's quantum instrumentation market by 2026. The success here is not merely about sales figures; it's about becoming the indispensable partner for every</w:t>
      </w:r>
      <w:r>
        <w:t xml:space="preserve"> </w:t>
      </w:r>
      <w:r>
        <w:rPr>
          <w:bCs/>
          <w:b/>
        </w:rPr>
        <w:t xml:space="preserve">Physicist</w:t>
      </w:r>
      <w:r>
        <w:t xml:space="preserve"> </w:t>
      </w:r>
      <w:r>
        <w:t xml:space="preserve">in Shanghai driving China's scientific future. We recommend doubling down on this model across all Asia-Pacific physics markets, starting with our next Sales Report from Beijing and Hong Kong.</w:t>
      </w:r>
    </w:p>
    <w:p>
      <w:pPr>
        <w:pStyle w:val="BodyText"/>
      </w:pPr>
      <w:r>
        <w:rPr>
          <w:iCs/>
          <w:i/>
        </w:rPr>
        <w:t xml:space="preserve">This Sales Report was compiled using data from Shanghai Municipal Science &amp; Technology Bureau, 120+ physicist interviews, and internal sales analytics (Q3 2023). All figures are verified by PwC China's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China Shanghai Market Performance</dc:title>
  <dc:creator/>
  <dc:language>en</dc:language>
  <cp:keywords/>
  <dcterms:created xsi:type="dcterms:W3CDTF">2025-12-10T09:49:35Z</dcterms:created>
  <dcterms:modified xsi:type="dcterms:W3CDTF">2025-12-10T09:49:35Z</dcterms:modified>
</cp:coreProperties>
</file>

<file path=docProps/custom.xml><?xml version="1.0" encoding="utf-8"?>
<Properties xmlns="http://schemas.openxmlformats.org/officeDocument/2006/custom-properties" xmlns:vt="http://schemas.openxmlformats.org/officeDocument/2006/docPropsVTypes"/>
</file>