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Equipment</w:t>
      </w:r>
      <w:r>
        <w:t xml:space="preserve"> </w:t>
      </w:r>
      <w:r>
        <w:t xml:space="preserve">Market</w:t>
      </w:r>
      <w:r>
        <w:t xml:space="preserve"> </w:t>
      </w:r>
      <w:r>
        <w:t xml:space="preserve">Performance</w:t>
      </w:r>
      <w:r>
        <w:t xml:space="preserve"> </w:t>
      </w:r>
      <w:r>
        <w:t xml:space="preserve">in</w:t>
      </w:r>
      <w:r>
        <w:t xml:space="preserve"> </w:t>
      </w:r>
      <w:r>
        <w:t xml:space="preserve">Cairo,</w:t>
      </w:r>
      <w:r>
        <w:t xml:space="preserve"> </w:t>
      </w:r>
      <w:r>
        <w:t xml:space="preserve">Egypt</w:t>
      </w:r>
    </w:p>
    <w:bookmarkStart w:id="27" w:name="Xd1edb4c13577894d0fa513aee2c7b2d9bbc0b83"/>
    <w:p>
      <w:pPr>
        <w:pStyle w:val="Heading1"/>
      </w:pPr>
      <w:r>
        <w:t xml:space="preserve">Sales Report: Physics Equipment Market Performance Analysis - Cairo, Egypt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Cairo Sales Division, Scientific Instruments Egypt</w:t>
      </w:r>
    </w:p>
    <w:bookmarkStart w:id="20" w:name="i.-executive-summary"/>
    <w:p>
      <w:pPr>
        <w:pStyle w:val="Heading2"/>
      </w:pPr>
      <w:r>
        <w:t xml:space="preserve">I. Executive Summary</w:t>
      </w:r>
    </w:p>
    <w:p>
      <w:pPr>
        <w:pStyle w:val="FirstParagraph"/>
      </w:pPr>
      <w:r>
        <w:t xml:space="preserve">This comprehensive sales report details the performance of physics-related equipment and services across Cairo, Egypt during Q3 2023. The market has shown exceptional growth driven by Egypt's national STEM development initiatives, with a remarkable 18.5% year-over-year increase in demand for advanced physics instrumentation. Our company has secured significant contracts with leading research institutions where Physicists are driving innovation across multiple disciplines. Total sales reached EGP 5,240,000 during the quarter, exceeding projections by 12%, with Cairo representing 78% of our national revenue. This success underscores Cairo's position as Egypt's premier hub for physics research and education where Physicists are increasingly pivotal in shaping technological advancement.</w:t>
      </w:r>
    </w:p>
    <w:bookmarkEnd w:id="20"/>
    <w:bookmarkStart w:id="22" w:name="X58e16a609bff9b9750c64e660aac81c5f014b0b"/>
    <w:p>
      <w:pPr>
        <w:pStyle w:val="Heading2"/>
      </w:pPr>
      <w:r>
        <w:t xml:space="preserve">II. Market Context: Physicist-Driven Demand in Cairo</w:t>
      </w:r>
    </w:p>
    <w:p>
      <w:pPr>
        <w:pStyle w:val="FirstParagraph"/>
      </w:pPr>
      <w:r>
        <w:t xml:space="preserve">Cairo has emerged as Egypt's epicenter for physics innovation, hosting 63% of the nation's physics research facilities including the Egyptian Atomic Energy Authority (EAEA), National Research Centre (NRC), and leading universities with dedicated Physics Departments. The demand surge stems directly from Egypt's Vision 2030 strategic focus on scientific advancement, which prioritizes strengthening foundational sciences. Crucially, this growth is spearheaded by Physicists—both at research institutions and educational centers—who have become key decision-makers in procurement processes. Our sales data reveals that 87% of institutional purchases involve direct consultation with Physicists who require specialized equipment for quantum research, materials science, and medical physics applications.</w:t>
      </w:r>
    </w:p>
    <w:bookmarkStart w:id="21" w:name="key-market-drivers"/>
    <w:p>
      <w:pPr>
        <w:pStyle w:val="Heading3"/>
      </w:pPr>
      <w:r>
        <w:t xml:space="preserve">Key Market Drivers:</w:t>
      </w:r>
    </w:p>
    <w:p>
      <w:pPr>
        <w:numPr>
          <w:ilvl w:val="0"/>
          <w:numId w:val="1001"/>
        </w:numPr>
        <w:pStyle w:val="Compact"/>
      </w:pPr>
      <w:r>
        <w:rPr>
          <w:bCs/>
          <w:b/>
        </w:rPr>
        <w:t xml:space="preserve">Government Investment:</w:t>
      </w:r>
      <w:r>
        <w:t xml:space="preserve"> </w:t>
      </w:r>
      <w:r>
        <w:t xml:space="preserve">Ministry of Higher Education allocated EGP 120 million specifically for physics laboratory upgrades across Cairo universities</w:t>
      </w:r>
    </w:p>
    <w:p>
      <w:pPr>
        <w:numPr>
          <w:ilvl w:val="0"/>
          <w:numId w:val="1001"/>
        </w:numPr>
        <w:pStyle w:val="Compact"/>
      </w:pPr>
      <w:r>
        <w:rPr>
          <w:bCs/>
          <w:b/>
        </w:rPr>
        <w:t xml:space="preserve">Educational Expansion:</w:t>
      </w:r>
      <w:r>
        <w:t xml:space="preserve"> </w:t>
      </w:r>
      <w:r>
        <w:t xml:space="preserve">25% increase in STEM enrollment at Cairo University Physics Department (764 new students)</w:t>
      </w:r>
    </w:p>
    <w:p>
      <w:pPr>
        <w:numPr>
          <w:ilvl w:val="0"/>
          <w:numId w:val="1001"/>
        </w:numPr>
        <w:pStyle w:val="Compact"/>
      </w:pPr>
      <w:r>
        <w:rPr>
          <w:bCs/>
          <w:b/>
        </w:rPr>
        <w:t xml:space="preserve">Research Collaboration:</w:t>
      </w:r>
      <w:r>
        <w:t xml:space="preserve"> </w:t>
      </w:r>
      <w:r>
        <w:t xml:space="preserve">Rising partnerships between Egyptian Physicists and international institutions (CERN, DESY)</w:t>
      </w:r>
    </w:p>
    <w:bookmarkEnd w:id="21"/>
    <w:bookmarkEnd w:id="22"/>
    <w:bookmarkStart w:id="24" w:name="iii.-sales-performance-breakdown"/>
    <w:p>
      <w:pPr>
        <w:pStyle w:val="Heading2"/>
      </w:pPr>
      <w:r>
        <w:t xml:space="preserve">III. Sales Performance Breakdown</w:t>
      </w:r>
    </w:p>
    <w:p>
      <w:pPr>
        <w:pStyle w:val="FirstParagraph"/>
      </w:pPr>
      <w:r>
        <w:rPr>
          <w:iCs/>
          <w:i/>
        </w:rPr>
        <w:t xml:space="preserve">All figures reflect Cairo-specific transactions (Q3 2023):</w:t>
      </w:r>
    </w:p>
    <w:p>
      <w:pPr>
        <w:pStyle w:val="BodyText"/>
      </w:pPr>
      <w:r>
        <w:t xml:space="preserve">Product Category</w:t>
      </w:r>
    </w:p>
    <w:p>
      <w:pPr>
        <w:pStyle w:val="BodyText"/>
      </w:pPr>
      <w:r>
        <w:t xml:space="preserve">% of Total Sales</w:t>
      </w:r>
    </w:p>
    <w:p>
      <w:pPr>
        <w:pStyle w:val="BodyText"/>
      </w:pPr>
      <w:r>
        <w:t xml:space="preserve">YoY Growth</w:t>
      </w:r>
    </w:p>
    <w:p>
      <w:pPr>
        <w:pStyle w:val="BodyText"/>
      </w:pPr>
      <w:r>
        <w:t xml:space="preserve">Key Customer Segment (Physicist-Driven)</w:t>
      </w:r>
    </w:p>
    <w:p>
      <w:pPr>
        <w:pStyle w:val="BodyText"/>
      </w:pPr>
      <w:r>
        <w:t xml:space="preserve">Laboratory Instrumentation</w:t>
      </w:r>
    </w:p>
    <w:p>
      <w:pPr>
        <w:pStyle w:val="BodyText"/>
      </w:pPr>
      <w:r>
        <w:t xml:space="preserve">42%</w:t>
      </w:r>
    </w:p>
    <w:p>
      <w:pPr>
        <w:pStyle w:val="BodyText"/>
      </w:pPr>
      <w:r>
        <w:t xml:space="preserve">+23.1%</w:t>
      </w:r>
    </w:p>
    <w:p>
      <w:pPr>
        <w:pStyle w:val="BodyText"/>
      </w:pPr>
      <w:r>
        <w:t xml:space="preserve">Cairo University Physics Dept. (85 Physicists)</w:t>
      </w:r>
    </w:p>
    <w:p>
      <w:pPr>
        <w:pStyle w:val="BodyText"/>
      </w:pPr>
      <w:r>
        <w:t xml:space="preserve">Research Software Solutions</w:t>
      </w:r>
    </w:p>
    <w:p>
      <w:pPr>
        <w:pStyle w:val="BodyText"/>
      </w:pPr>
      <w:r>
        <w:t xml:space="preserve">31%</w:t>
      </w:r>
    </w:p>
    <w:p>
      <w:pPr>
        <w:pStyle w:val="BodyText"/>
      </w:pPr>
      <w:r>
        <w:t xml:space="preserve">+17.8%</w:t>
      </w:r>
    </w:p>
    <w:p>
      <w:pPr>
        <w:pStyle w:val="BodyText"/>
      </w:pPr>
      <w:r>
        <w:t xml:space="preserve">Zewail City Quantum Research Group (23 Senior Physicists)</w:t>
      </w:r>
    </w:p>
    <w:p>
      <w:pPr>
        <w:pStyle w:val="BodyText"/>
      </w:pPr>
      <w:r>
        <w:t xml:space="preserve">Educational Physics Kits</w:t>
      </w:r>
    </w:p>
    <w:p>
      <w:pPr>
        <w:pStyle w:val="BodyText"/>
      </w:pPr>
      <w:r>
        <w:t xml:space="preserve">18%</w:t>
      </w:r>
    </w:p>
    <w:p>
      <w:pPr>
        <w:pStyle w:val="BodyText"/>
      </w:pPr>
      <w:r>
        <w:t xml:space="preserve">+29.5%</w:t>
      </w:r>
    </w:p>
    <w:p>
      <w:pPr>
        <w:pStyle w:val="BodyText"/>
      </w:pPr>
      <w:r>
        <w:t xml:space="preserve">Public School STEM Programs (320 Physicists as educators)</w:t>
      </w:r>
    </w:p>
    <w:p>
      <w:pPr>
        <w:pStyle w:val="BodyText"/>
      </w:pPr>
      <w:r>
        <w:t xml:space="preserve">Consulting &amp; Training</w:t>
      </w:r>
    </w:p>
    <w:p>
      <w:pPr>
        <w:pStyle w:val="BodyText"/>
      </w:pPr>
      <w:r>
        <w:t xml:space="preserve">9%</w:t>
      </w:r>
    </w:p>
    <w:p>
      <w:pPr>
        <w:pStyle w:val="BodyText"/>
      </w:pPr>
      <w:r>
        <w:t xml:space="preserve">+14.2%</w:t>
      </w:r>
    </w:p>
    <w:p>
      <w:pPr>
        <w:pStyle w:val="BodyText"/>
      </w:pPr>
      <w:r>
        <w:t xml:space="preserve">EAEA Nuclear Physics Division (57 Physicists in training)</w:t>
      </w:r>
    </w:p>
    <w:bookmarkStart w:id="23" w:name="notable-physicist-driven-wins"/>
    <w:p>
      <w:pPr>
        <w:pStyle w:val="Heading3"/>
      </w:pPr>
      <w:r>
        <w:t xml:space="preserve">Notable Physicist-Driven Wins:</w:t>
      </w:r>
    </w:p>
    <w:p>
      <w:pPr>
        <w:numPr>
          <w:ilvl w:val="0"/>
          <w:numId w:val="1002"/>
        </w:numPr>
        <w:pStyle w:val="Compact"/>
      </w:pPr>
      <w:r>
        <w:rPr>
          <w:bCs/>
          <w:b/>
        </w:rPr>
        <w:t xml:space="preserve">Cairo University Quantum Optics Lab:</w:t>
      </w:r>
      <w:r>
        <w:t xml:space="preserve"> </w:t>
      </w:r>
      <w:r>
        <w:t xml:space="preserve">EGP 1.42M contract for laser systems after Dr. Ahmed El-Sayed (Lead Physicist) demonstrated research needs at our Cairo technical seminar</w:t>
      </w:r>
    </w:p>
    <w:p>
      <w:pPr>
        <w:numPr>
          <w:ilvl w:val="0"/>
          <w:numId w:val="1002"/>
        </w:numPr>
        <w:pStyle w:val="Compact"/>
      </w:pPr>
      <w:r>
        <w:rPr>
          <w:bCs/>
          <w:b/>
        </w:rPr>
        <w:t xml:space="preserve">NRC Medical Physics Division:</w:t>
      </w:r>
      <w:r>
        <w:t xml:space="preserve"> </w:t>
      </w:r>
      <w:r>
        <w:t xml:space="preserve">EGP 980,000 order for radiation measurement equipment following collaboration with Dr. Nada Hassan (Physicist and Head of Department)</w:t>
      </w:r>
    </w:p>
    <w:p>
      <w:pPr>
        <w:numPr>
          <w:ilvl w:val="0"/>
          <w:numId w:val="1002"/>
        </w:numPr>
        <w:pStyle w:val="Compact"/>
      </w:pPr>
      <w:r>
        <w:rPr>
          <w:bCs/>
          <w:b/>
        </w:rPr>
        <w:t xml:space="preserve">Cairo Science Museum Partnership:</w:t>
      </w:r>
      <w:r>
        <w:t xml:space="preserve"> </w:t>
      </w:r>
      <w:r>
        <w:t xml:space="preserve">EGP 425,000 contract to develop interactive physics exhibits co-designed with 17 museum Physicists</w:t>
      </w:r>
    </w:p>
    <w:bookmarkEnd w:id="23"/>
    <w:bookmarkEnd w:id="24"/>
    <w:bookmarkStart w:id="25" w:name="Xe0f5c645a39342f9ad348d3ac73183f1d15974e"/>
    <w:p>
      <w:pPr>
        <w:pStyle w:val="Heading2"/>
      </w:pPr>
      <w:r>
        <w:t xml:space="preserve">IV. Physicist Engagement Strategy: Core to Our Success</w:t>
      </w:r>
    </w:p>
    <w:p>
      <w:pPr>
        <w:pStyle w:val="FirstParagraph"/>
      </w:pPr>
      <w:r>
        <w:t xml:space="preserve">We've implemented a specialized approach recognizing that Physicists require different engagement than typical corporate buyers. Key initiatives include:</w:t>
      </w:r>
    </w:p>
    <w:p>
      <w:pPr>
        <w:numPr>
          <w:ilvl w:val="0"/>
          <w:numId w:val="1003"/>
        </w:numPr>
        <w:pStyle w:val="Compact"/>
      </w:pPr>
      <w:r>
        <w:rPr>
          <w:bCs/>
          <w:b/>
        </w:rPr>
        <w:t xml:space="preserve">Physicist Advisory Council:</w:t>
      </w:r>
      <w:r>
        <w:t xml:space="preserve"> </w:t>
      </w:r>
      <w:r>
        <w:t xml:space="preserve">Quarterly meetings with 35 leading Cairo-based Physicists to co-develop product specifications (e.g., feedback from Prof. Tarek Farag at Ain Shams University led to our new portable spectrometer)</w:t>
      </w:r>
    </w:p>
    <w:p>
      <w:pPr>
        <w:numPr>
          <w:ilvl w:val="0"/>
          <w:numId w:val="1003"/>
        </w:numPr>
        <w:pStyle w:val="Compact"/>
      </w:pPr>
      <w:r>
        <w:rPr>
          <w:bCs/>
          <w:b/>
        </w:rPr>
        <w:t xml:space="preserve">Technical Demonstration Days:</w:t>
      </w:r>
      <w:r>
        <w:t xml:space="preserve"> </w:t>
      </w:r>
      <w:r>
        <w:t xml:space="preserve">Bi-monthly events at Cairo Innovation Hub where Physicists test equipment in real research scenarios (128 Physicists attended Q3 sessions)</w:t>
      </w:r>
    </w:p>
    <w:p>
      <w:pPr>
        <w:numPr>
          <w:ilvl w:val="0"/>
          <w:numId w:val="1003"/>
        </w:numPr>
        <w:pStyle w:val="Compact"/>
      </w:pPr>
      <w:r>
        <w:rPr>
          <w:bCs/>
          <w:b/>
        </w:rPr>
        <w:t xml:space="preserve">Research Partnership Program:</w:t>
      </w:r>
      <w:r>
        <w:t xml:space="preserve"> </w:t>
      </w:r>
      <w:r>
        <w:t xml:space="preserve">Co-funding 5 university physics projects with 60+ Physicists, resulting in 7 new product features and direct sales opportunities</w:t>
      </w:r>
    </w:p>
    <w:p>
      <w:pPr>
        <w:pStyle w:val="FirstParagraph"/>
      </w:pPr>
      <w:r>
        <w:t xml:space="preserve">This strategy directly addresses the unique requirements of Physicists, who prioritize measurement precision (92% of purchases), research compatibility (87%), and technical support quality (81%) over price considerations. Our conversion rate for Physicist-qualified leads has increased to 63% versus 41% for standard enterprise accounts.</w:t>
      </w:r>
    </w:p>
    <w:bookmarkEnd w:id="25"/>
    <w:bookmarkStart w:id="26" w:name="v.-challenges-strategic-response"/>
    <w:p>
      <w:pPr>
        <w:pStyle w:val="Heading2"/>
      </w:pPr>
      <w:r>
        <w:t xml:space="preserve">V. Challenges &amp; Strategic Response</w:t>
      </w:r>
    </w:p>
    <w:p>
      <w:pPr>
        <w:pStyle w:val="FirstParagraph"/>
      </w:pPr>
      <w:r>
        <w:t xml:space="preserve">Despite strong performance, we faced two significant challenges specific to the Cairo physics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Equipment Market Performance in Cairo, Egypt</dc:title>
  <dc:creator/>
  <dc:language>en</dc:language>
  <cp:keywords/>
  <dcterms:created xsi:type="dcterms:W3CDTF">2026-07-17T05:53:28Z</dcterms:created>
  <dcterms:modified xsi:type="dcterms:W3CDTF">2026-07-17T05:53:28Z</dcterms:modified>
</cp:coreProperties>
</file>

<file path=docProps/custom.xml><?xml version="1.0" encoding="utf-8"?>
<Properties xmlns="http://schemas.openxmlformats.org/officeDocument/2006/custom-properties" xmlns:vt="http://schemas.openxmlformats.org/officeDocument/2006/docPropsVTypes"/>
</file>