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Sales</w:t>
      </w:r>
      <w:r>
        <w:t xml:space="preserve"> </w:t>
      </w:r>
      <w:r>
        <w:t xml:space="preserve">Performance</w:t>
      </w:r>
      <w:r>
        <w:t xml:space="preserve"> </w:t>
      </w:r>
      <w:r>
        <w:t xml:space="preserve">Report:</w:t>
      </w:r>
      <w:r>
        <w:t xml:space="preserve"> </w:t>
      </w:r>
      <w:r>
        <w:t xml:space="preserve">France</w:t>
      </w:r>
      <w:r>
        <w:t xml:space="preserve"> </w:t>
      </w:r>
      <w:r>
        <w:t xml:space="preserve">Paris</w:t>
      </w:r>
      <w:r>
        <w:t xml:space="preserve"> </w:t>
      </w:r>
      <w:r>
        <w:t xml:space="preserve">Market</w:t>
      </w:r>
      <w:r>
        <w:t xml:space="preserve"> </w:t>
      </w:r>
      <w:r>
        <w:t xml:space="preserve">Analysis</w:t>
      </w:r>
    </w:p>
    <w:bookmarkStart w:id="27" w:name="X45b74c047804aa9ad76c275fcc2f3bcea69059a"/>
    <w:p>
      <w:pPr>
        <w:pStyle w:val="Heading1"/>
      </w:pPr>
      <w:r>
        <w:t xml:space="preserve">Sales Report: Quantum Leap in Business Development Through Physicist Expertise in France Paris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International Strategy Division</w:t>
      </w:r>
      <w:r>
        <w:br/>
      </w:r>
      <w:r>
        <w:rPr>
          <w:bCs/>
          <w:b/>
        </w:rPr>
        <w:t xml:space="preserve">Report Scope:</w:t>
      </w:r>
      <w:r>
        <w:t xml:space="preserve"> </w:t>
      </w:r>
      <w:r>
        <w:t xml:space="preserve">Sales Performance Analysis of Quantum Physics Consulting Services in Paris, France (Q3 2023)</w:t>
      </w:r>
    </w:p>
    <w:bookmarkStart w:id="20" w:name="i.-executive-summary"/>
    <w:p>
      <w:pPr>
        <w:pStyle w:val="Heading2"/>
      </w:pPr>
      <w:r>
        <w:t xml:space="preserve">I. Executive Summary</w:t>
      </w:r>
    </w:p>
    <w:p>
      <w:pPr>
        <w:pStyle w:val="FirstParagraph"/>
      </w:pPr>
      <w:r>
        <w:t xml:space="preserve">This Sales Report details the unprecedented growth trajectory achieved by our Physicist-led business development team in France Paris during Q3 2023. Leveraging advanced theoretical physics methodologies applied to market analysis, our specialist physicists have generated a 47% YoY increase in enterprise contract value, securing key partnerships with major French industrial and research entities. The unique integration of quantum mechanics principles into sales strategy has positioned us as the premier consulting partner for innovation-driven companies across Paris's prestigious scientific ecosystem. This report validates that France Paris is now the most lucrative market for our physicist-optimized sales framework globally.</w:t>
      </w:r>
    </w:p>
    <w:bookmarkEnd w:id="20"/>
    <w:bookmarkStart w:id="21" w:name="X3ec8aa6a88d6a52782f656ba16238b8731d28c1"/>
    <w:p>
      <w:pPr>
        <w:pStyle w:val="Heading2"/>
      </w:pPr>
      <w:r>
        <w:t xml:space="preserve">II. Market Context: Physics-Powered Sales in Paris</w:t>
      </w:r>
    </w:p>
    <w:p>
      <w:pPr>
        <w:pStyle w:val="FirstParagraph"/>
      </w:pPr>
      <w:r>
        <w:t xml:space="preserve">Paris, as Europe’s third-largest tech hub and home to institutions like Sorbonne University, CNRS (National Center for Scientific Research), and the Eiffel Tower Innovation District, presents a unique landscape where scientific expertise directly translates to commercial value. Our Physicist Sales Strategy leverages this context by transforming complex theoretical concepts into actionable business intelligence. Unlike traditional sales teams, our physicists analyze market dynamics through the lens of quantum entanglement theory (mapping interdependencies between clients), statistical mechanics (predicting market trends), and chaos theory (navigating competitive uncertainty). This approach has resonated profoundly with Parisian enterprises seeking to optimize R&amp;D investment in fields like renewable energy, aerospace, and AI chip design.</w:t>
      </w:r>
    </w:p>
    <w:bookmarkEnd w:id="21"/>
    <w:bookmarkStart w:id="22" w:name="X6a1228dfee160952ec3a69b082e13adc6ee7f85"/>
    <w:p>
      <w:pPr>
        <w:pStyle w:val="Heading2"/>
      </w:pPr>
      <w:r>
        <w:t xml:space="preserve">III. Q3 2023 Performance Highlights: The Physicist Advantage</w:t>
      </w:r>
    </w:p>
    <w:p>
      <w:pPr>
        <w:pStyle w:val="FirstParagraph"/>
      </w:pPr>
      <w:r>
        <w:rPr>
          <w:bCs/>
          <w:b/>
        </w:rPr>
        <w:t xml:space="preserve">1. Market Penetration in Key Sectors:</w:t>
      </w:r>
      <w:r>
        <w:t xml:space="preserve"> </w:t>
      </w:r>
      <w:r>
        <w:t xml:space="preserve">Our Paris-based physicist team achieved a 68% success rate in securing contracts with Fortune 500 French entities, including Airbus (Le Bourget), TotalEnergies, and Thales Group. The physicist’s ability to model complex supply chain systems using fluid dynamics equations reduced client risk assessment time by 32%, directly contributing to these wins.</w:t>
      </w:r>
    </w:p>
    <w:p>
      <w:pPr>
        <w:pStyle w:val="BodyText"/>
      </w:pPr>
      <w:r>
        <w:rPr>
          <w:bCs/>
          <w:b/>
        </w:rPr>
        <w:t xml:space="preserve">2. Revenue Growth Metrics:</w:t>
      </w:r>
      <w:r>
        <w:t xml:space="preserve"> </w:t>
      </w:r>
      <w:r>
        <w:t xml:space="preserve">Total sales in France Paris reached €4.8M (Q3), a 47% increase over Q2. Notably, the average contract value rose from €185k to €310k due to our physicists' ability to identify high-impact R&amp;D synergy opportunities in client operations – for example, optimizing turbine efficiency at EDF using thermodynamic models.</w:t>
      </w:r>
    </w:p>
    <w:p>
      <w:pPr>
        <w:pStyle w:val="BodyText"/>
      </w:pPr>
      <w:r>
        <w:rPr>
          <w:bCs/>
          <w:b/>
        </w:rPr>
        <w:t xml:space="preserve">3. Client Retention &amp; Expansion:</w:t>
      </w:r>
      <w:r>
        <w:t xml:space="preserve"> </w:t>
      </w:r>
      <w:r>
        <w:t xml:space="preserve">Our Parisian clients reported a 92% satisfaction rate (vs. industry average of 68%) attributed to our Physicist-driven "Predictive Innovation Audits." These audits, based on machine learning algorithms trained on quantum statistical data, identified unmet needs before clients articulated them. A prime example: diagnosing energy waste patterns at L’Oréal Paris headquarters via computational fluid dynamics, leading to a €2.1M expansion contract.</w:t>
      </w:r>
    </w:p>
    <w:p>
      <w:pPr>
        <w:pStyle w:val="BodyText"/>
      </w:pPr>
      <w:r>
        <w:rPr>
          <w:bCs/>
          <w:b/>
        </w:rPr>
        <w:t xml:space="preserve">4. Strategic Partnerships:</w:t>
      </w:r>
      <w:r>
        <w:t xml:space="preserve"> </w:t>
      </w:r>
      <w:r>
        <w:t xml:space="preserve">Forged three high-impact alliances with Paris institutions:</w:t>
      </w:r>
      <w:r>
        <w:t xml:space="preserve"> </w:t>
      </w:r>
      <w:r>
        <w:t xml:space="preserve">- Sorbonne University (Joint R&amp;D Lab for Quantum Computing Applications)</w:t>
      </w:r>
      <w:r>
        <w:t xml:space="preserve"> </w:t>
      </w:r>
      <w:r>
        <w:t xml:space="preserve">- Station F (Paris’s largest startup incubator) for physicist mentorship programs</w:t>
      </w:r>
      <w:r>
        <w:t xml:space="preserve"> </w:t>
      </w:r>
      <w:r>
        <w:t xml:space="preserve">- Paris Tech Cluster (Co-developing "Physics-Driven Sales Acceleration" workshops)</w:t>
      </w:r>
    </w:p>
    <w:bookmarkEnd w:id="22"/>
    <w:bookmarkStart w:id="23" w:name="X6e8bfa3e0c1b0766b0cec549f865d383a266627"/>
    <w:p>
      <w:pPr>
        <w:pStyle w:val="Heading2"/>
      </w:pPr>
      <w:r>
        <w:t xml:space="preserve">IV. Methodology: How Physicists Drive Sales Results</w:t>
      </w:r>
    </w:p>
    <w:p>
      <w:pPr>
        <w:pStyle w:val="FirstParagraph"/>
      </w:pPr>
      <w:r>
        <w:t xml:space="preserve">Our Sales Report methodology diverges from conventional models through three physics-based pillars:</w:t>
      </w:r>
    </w:p>
    <w:p>
      <w:pPr>
        <w:numPr>
          <w:ilvl w:val="0"/>
          <w:numId w:val="1001"/>
        </w:numPr>
        <w:pStyle w:val="Compact"/>
      </w:pPr>
      <w:r>
        <w:rPr>
          <w:bCs/>
          <w:b/>
        </w:rPr>
        <w:t xml:space="preserve">Entanglement Mapping:</w:t>
      </w:r>
      <w:r>
        <w:t xml:space="preserve"> </w:t>
      </w:r>
      <w:r>
        <w:t xml:space="preserve">Physicists model client relationships as quantum entangled systems, identifying hidden dependencies (e.g., how a supplier’s innovation affects multiple client divisions). This revealed cross-selling opportunities at Michelin that increased their contract size by 37%.</w:t>
      </w:r>
    </w:p>
    <w:p>
      <w:pPr>
        <w:numPr>
          <w:ilvl w:val="0"/>
          <w:numId w:val="1001"/>
        </w:numPr>
        <w:pStyle w:val="Compact"/>
      </w:pPr>
      <w:r>
        <w:rPr>
          <w:bCs/>
          <w:b/>
        </w:rPr>
        <w:t xml:space="preserve">Chaos Theory Forecasting:</w:t>
      </w:r>
      <w:r>
        <w:t xml:space="preserve"> </w:t>
      </w:r>
      <w:r>
        <w:t xml:space="preserve">Instead of linear projections, our team uses nonlinear dynamics to simulate market turbulence. During Paris’s recent energy transition policy shifts, this predicted a 22% demand surge in grid modernization – allowing us to secure contracts with EDF before competitors.</w:t>
      </w:r>
    </w:p>
    <w:p>
      <w:pPr>
        <w:numPr>
          <w:ilvl w:val="0"/>
          <w:numId w:val="1001"/>
        </w:numPr>
        <w:pStyle w:val="Compact"/>
      </w:pPr>
      <w:r>
        <w:rPr>
          <w:bCs/>
          <w:b/>
        </w:rPr>
        <w:t xml:space="preserve">Thermodynamic Efficiency Analysis:</w:t>
      </w:r>
      <w:r>
        <w:t xml:space="preserve"> </w:t>
      </w:r>
      <w:r>
        <w:t xml:space="preserve">Physicists measure "sales entropy" (wasted effort) in sales cycles. By reducing process friction through optimized client onboarding workflows (inspired by heat transfer principles), our Paris team cut sales cycle times by 28%.</w:t>
      </w:r>
    </w:p>
    <w:bookmarkEnd w:id="23"/>
    <w:bookmarkStart w:id="24" w:name="v.-competitive-landscape-in-france-paris"/>
    <w:p>
      <w:pPr>
        <w:pStyle w:val="Heading2"/>
      </w:pPr>
      <w:r>
        <w:t xml:space="preserve">V. Competitive Landscape in France Paris</w:t>
      </w:r>
    </w:p>
    <w:p>
      <w:pPr>
        <w:pStyle w:val="FirstParagraph"/>
      </w:pPr>
      <w:r>
        <w:t xml:space="preserve">Paris’s competitive environment demands specialized expertise. Traditional sales firms lack the scientific rigor to address complex client challenges in high-tech sectors. Our Physicist Sales Team differentiates through:</w:t>
      </w:r>
    </w:p>
    <w:p>
      <w:pPr>
        <w:numPr>
          <w:ilvl w:val="0"/>
          <w:numId w:val="1002"/>
        </w:numPr>
        <w:pStyle w:val="Compact"/>
      </w:pPr>
      <w:r>
        <w:rPr>
          <w:iCs/>
          <w:i/>
        </w:rPr>
        <w:t xml:space="preserve">Technical Credibility:</w:t>
      </w:r>
      <w:r>
        <w:t xml:space="preserve"> </w:t>
      </w:r>
      <w:r>
        <w:t xml:space="preserve">Physicists speak the language of French engineers (e.g., explaining AI model optimization using Schrödinger equations analogies).</w:t>
      </w:r>
    </w:p>
    <w:p>
      <w:pPr>
        <w:numPr>
          <w:ilvl w:val="0"/>
          <w:numId w:val="1002"/>
        </w:numPr>
        <w:pStyle w:val="Compact"/>
      </w:pPr>
      <w:r>
        <w:rPr>
          <w:iCs/>
          <w:i/>
        </w:rPr>
        <w:t xml:space="preserve">Innovation Alignment:</w:t>
      </w:r>
      <w:r>
        <w:t xml:space="preserve"> </w:t>
      </w:r>
      <w:r>
        <w:t xml:space="preserve">89% of Parisian clients cite our physics expertise as the deciding factor for choosing us over competitors.</w:t>
      </w:r>
    </w:p>
    <w:p>
      <w:pPr>
        <w:numPr>
          <w:ilvl w:val="0"/>
          <w:numId w:val="1002"/>
        </w:numPr>
        <w:pStyle w:val="Compact"/>
      </w:pPr>
      <w:r>
        <w:rPr>
          <w:iCs/>
          <w:i/>
        </w:rPr>
        <w:t xml:space="preserve">Local Ecosystem Integration:</w:t>
      </w:r>
      <w:r>
        <w:t xml:space="preserve"> </w:t>
      </w:r>
      <w:r>
        <w:t xml:space="preserve">We host quarterly "Paris Quantum Forums" at Institut Henri Poincaré, attracting C-suite leaders from Air Liquide and Dassault Systèmes.</w:t>
      </w:r>
    </w:p>
    <w:bookmarkEnd w:id="24"/>
    <w:bookmarkStart w:id="25" w:name="X6cd7ae843dd04a7ec9d94a94146a0e2f9c06afe"/>
    <w:p>
      <w:pPr>
        <w:pStyle w:val="Heading2"/>
      </w:pPr>
      <w:r>
        <w:t xml:space="preserve">VI. Strategic Recommendations for France Paris</w:t>
      </w:r>
    </w:p>
    <w:p>
      <w:pPr>
        <w:pStyle w:val="FirstParagraph"/>
      </w:pPr>
      <w:r>
        <w:t xml:space="preserve">Leveraging Q3’s success, we propose the following actions for the France Paris market:</w:t>
      </w:r>
    </w:p>
    <w:p>
      <w:pPr>
        <w:numPr>
          <w:ilvl w:val="0"/>
          <w:numId w:val="1003"/>
        </w:numPr>
        <w:pStyle w:val="Compact"/>
      </w:pPr>
      <w:r>
        <w:rPr>
          <w:bCs/>
          <w:b/>
        </w:rPr>
        <w:t xml:space="preserve">Scale Physicist Teams:</w:t>
      </w:r>
      <w:r>
        <w:t xml:space="preserve"> </w:t>
      </w:r>
      <w:r>
        <w:t xml:space="preserve">Increase physicist headcount in Paris by 40% to address backlog of high-value opportunities (e.g., nuclear fusion partnerships at CEA Saclay).</w:t>
      </w:r>
    </w:p>
    <w:p>
      <w:pPr>
        <w:numPr>
          <w:ilvl w:val="0"/>
          <w:numId w:val="1003"/>
        </w:numPr>
        <w:pStyle w:val="Compact"/>
      </w:pPr>
      <w:r>
        <w:rPr>
          <w:bCs/>
          <w:b/>
        </w:rPr>
        <w:t xml:space="preserve">Certify "Physics Sales" Workshops:</w:t>
      </w:r>
      <w:r>
        <w:t xml:space="preserve"> </w:t>
      </w:r>
      <w:r>
        <w:t xml:space="preserve">Partner with École Polytechnique to develop a certified training program for French sales teams, positioning us as market leaders in scientific sales methodology.</w:t>
      </w:r>
    </w:p>
    <w:p>
      <w:pPr>
        <w:numPr>
          <w:ilvl w:val="0"/>
          <w:numId w:val="1003"/>
        </w:numPr>
        <w:pStyle w:val="Compact"/>
      </w:pPr>
      <w:r>
        <w:rPr>
          <w:bCs/>
          <w:b/>
        </w:rPr>
        <w:t xml:space="preserve">Expand into Energy Sector:</w:t>
      </w:r>
      <w:r>
        <w:t xml:space="preserve"> </w:t>
      </w:r>
      <w:r>
        <w:t xml:space="preserve">Target Paris-based green tech startups using our thermodynamic efficiency models (€1.2B market opportunity in France’s 2030 energy transition plan).</w:t>
      </w:r>
    </w:p>
    <w:p>
      <w:pPr>
        <w:numPr>
          <w:ilvl w:val="0"/>
          <w:numId w:val="1003"/>
        </w:numPr>
        <w:pStyle w:val="Compact"/>
      </w:pPr>
      <w:r>
        <w:rPr>
          <w:bCs/>
          <w:b/>
        </w:rPr>
        <w:t xml:space="preserve">Leverage Parisian Events:</w:t>
      </w:r>
      <w:r>
        <w:t xml:space="preserve"> </w:t>
      </w:r>
      <w:r>
        <w:t xml:space="preserve">Secure speaking roles at the International Science Fair (Paris, November 2023) to showcase physics-driven sales success stories.</w:t>
      </w:r>
    </w:p>
    <w:bookmarkEnd w:id="25"/>
    <w:bookmarkStart w:id="26" w:name="vii.-conclusion"/>
    <w:p>
      <w:pPr>
        <w:pStyle w:val="Heading2"/>
      </w:pPr>
      <w:r>
        <w:t xml:space="preserve">VII. Conclusion</w:t>
      </w:r>
    </w:p>
    <w:p>
      <w:pPr>
        <w:pStyle w:val="FirstParagraph"/>
      </w:pPr>
      <w:r>
        <w:t xml:space="preserve">This Sales Report unequivocally demonstrates that a Physicist’s analytical framework is not merely an asset but the strategic engine driving growth in France Paris. The convergence of quantum theory, market dynamics, and Paris’s innovation culture has created a self-reinforcing cycle: our physicists solve complex client problems → clients achieve measurable ROI → trust deepens → new opportunities emerge. As France positions itself as a global physics research leader (evidenced by the €200M Paris Quantum Initiative), our Physicist Sales Strategy is perfectly aligned with national priorities. We project €7.2M in Q4 2023 revenue for France Paris, cementing it as our highest-performing market and proving that scientific rigor translates directly to commercial excellence in the heart of Europe’s knowledge economy.</w:t>
      </w:r>
    </w:p>
    <w:p>
      <w:pPr>
        <w:pStyle w:val="BodyText"/>
      </w:pPr>
      <w:r>
        <w:rPr>
          <w:bCs/>
          <w:b/>
        </w:rPr>
        <w:t xml:space="preserve">Prepared By:</w:t>
      </w:r>
      <w:r>
        <w:t xml:space="preserve"> </w:t>
      </w:r>
      <w:r>
        <w:t xml:space="preserve">International Sales Innovation Unit</w:t>
      </w:r>
      <w:r>
        <w:br/>
      </w:r>
      <w:r>
        <w:rPr>
          <w:bCs/>
          <w:b/>
        </w:rPr>
        <w:t xml:space="preserve">Paris Office Director:</w:t>
      </w:r>
      <w:r>
        <w:t xml:space="preserve"> </w:t>
      </w:r>
      <w:r>
        <w:t xml:space="preserve">Dr. Élodie Moreau (PhD, Theoretical Physics, University of Paris-Saclay)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Sales Performance Report: France Paris Market Analysis</dc:title>
  <dc:creator/>
  <dc:language>en</dc:language>
  <cp:keywords/>
  <dcterms:created xsi:type="dcterms:W3CDTF">2026-07-22T06:22:25Z</dcterms:created>
  <dcterms:modified xsi:type="dcterms:W3CDTF">2026-07-22T06:22:25Z</dcterms:modified>
</cp:coreProperties>
</file>

<file path=docProps/custom.xml><?xml version="1.0" encoding="utf-8"?>
<Properties xmlns="http://schemas.openxmlformats.org/officeDocument/2006/custom-properties" xmlns:vt="http://schemas.openxmlformats.org/officeDocument/2006/docPropsVTypes"/>
</file>