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8" w:name="Xc20339898b45d1faec320b314326ec0fa5504a9"/>
    <w:p>
      <w:pPr>
        <w:pStyle w:val="Heading1"/>
      </w:pPr>
      <w:r>
        <w:t xml:space="preserve">Sales Report: Physicist-Driven Market Expansion in Germany Berlin</w:t>
      </w:r>
    </w:p>
    <w:p>
      <w:pPr>
        <w:pStyle w:val="FirstParagraph"/>
      </w:pPr>
      <w:r>
        <w:t xml:space="preserve">Prepared for Executive Leadership | Q3 2023 Performance Analysis</w:t>
      </w:r>
    </w:p>
    <w:bookmarkStart w:id="20" w:name="executive-summary"/>
    <w:p>
      <w:pPr>
        <w:pStyle w:val="Heading2"/>
      </w:pPr>
      <w:r>
        <w:t xml:space="preserve">Executive Summary</w:t>
      </w:r>
    </w:p>
    <w:p>
      <w:pPr>
        <w:pStyle w:val="FirstParagraph"/>
      </w:pPr>
      <w:r>
        <w:t xml:space="preserve">This Sales Report details the strategic market performance of our physics-engineered solutions within Germany Berlin, highlighting how a physicist-led sales approach has fundamentally transformed client acquisition and retention. Operating from Berlin's innovation hub at Alexanderplatz, our team achieved a 37% year-over-year revenue growth by leveraging deep scientific expertise to address complex industrial challenges. This report confirms that embedding a</w:t>
      </w:r>
      <w:r>
        <w:t xml:space="preserve"> </w:t>
      </w:r>
      <w:r>
        <w:rPr>
          <w:bCs/>
          <w:b/>
        </w:rPr>
        <w:t xml:space="preserve">Physicist</w:t>
      </w:r>
      <w:r>
        <w:t xml:space="preserve"> </w:t>
      </w:r>
      <w:r>
        <w:t xml:space="preserve">in core sales operations is not merely advantageous but essential for penetrating high-value markets in</w:t>
      </w:r>
      <w:r>
        <w:t xml:space="preserve"> </w:t>
      </w:r>
      <w:r>
        <w:rPr>
          <w:iCs/>
          <w:i/>
        </w:rPr>
        <w:t xml:space="preserve">Germany Berlin</w:t>
      </w:r>
      <w:r>
        <w:t xml:space="preserve">, where technical sophistication drives purchasing decisions.</w:t>
      </w:r>
    </w:p>
    <w:bookmarkEnd w:id="20"/>
    <w:bookmarkStart w:id="21" w:name="Xabb3f393d387ff090f9940681d9432b34e5739f"/>
    <w:p>
      <w:pPr>
        <w:pStyle w:val="Heading2"/>
      </w:pPr>
      <w:r>
        <w:t xml:space="preserve">Market Context: The Berlin Physics Advantage</w:t>
      </w:r>
    </w:p>
    <w:p>
      <w:pPr>
        <w:pStyle w:val="FirstParagraph"/>
      </w:pPr>
      <w:r>
        <w:t xml:space="preserve">Berlin represents Germany's most dynamic scientific commerce ecosystem, home to 70+ physics-focused startups and major R&amp;D facilities like the Helmholtz Association. Unlike generic sales teams, our</w:t>
      </w:r>
      <w:r>
        <w:t xml:space="preserve"> </w:t>
      </w:r>
      <w:r>
        <w:rPr>
          <w:bCs/>
          <w:b/>
        </w:rPr>
        <w:t xml:space="preserve">Physicist</w:t>
      </w:r>
      <w:r>
        <w:t xml:space="preserve"> </w:t>
      </w:r>
      <w:r>
        <w:t xml:space="preserve">sales representatives (all holding doctoral degrees in applied physics) speak the precise technical language required by clients at Max Planck Institutes and Fraunhofer Society laboratories. This specialized capability directly addresses a critical market gap: 83% of Berlin-based engineering firms report dissatisfaction with sales personnel lacking fundamental quantum mechanics or materials science knowledge (German Industry Survey, Q2 2023). Our</w:t>
      </w:r>
      <w:r>
        <w:t xml:space="preserve"> </w:t>
      </w:r>
      <w:r>
        <w:rPr>
          <w:bCs/>
          <w:b/>
        </w:rPr>
        <w:t xml:space="preserve">Physicist</w:t>
      </w:r>
      <w:r>
        <w:t xml:space="preserve">-led approach has become the differentiator in</w:t>
      </w:r>
      <w:r>
        <w:t xml:space="preserve"> </w:t>
      </w:r>
      <w:r>
        <w:rPr>
          <w:iCs/>
          <w:i/>
        </w:rPr>
        <w:t xml:space="preserve">Germany Berlin</w:t>
      </w:r>
      <w:r>
        <w:t xml:space="preserve">'s competitive market, where technical due diligence precedes 95% of procurement decisions.</w:t>
      </w:r>
    </w:p>
    <w:bookmarkEnd w:id="21"/>
    <w:bookmarkStart w:id="22" w:name="q3-2023-performance-metrics"/>
    <w:p>
      <w:pPr>
        <w:pStyle w:val="Heading2"/>
      </w:pPr>
      <w:r>
        <w:t xml:space="preserve">Q3 2023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Benchmark (Berlin)</w:t>
            </w:r>
          </w:p>
        </w:tc>
      </w:tr>
      <w:tr>
        <w:tc>
          <w:tcPr/>
          <w:p>
            <w:pPr>
              <w:pStyle w:val="Compact"/>
              <w:jc w:val="left"/>
            </w:pPr>
            <w:r>
              <w:t xml:space="preserve">Total Revenue (EUR)</w:t>
            </w:r>
          </w:p>
        </w:tc>
        <w:tc>
          <w:tcPr/>
          <w:p>
            <w:pPr>
              <w:pStyle w:val="Compact"/>
              <w:jc w:val="left"/>
            </w:pPr>
            <w:r>
              <w:t xml:space="preserve">€2.87M</w:t>
            </w:r>
          </w:p>
        </w:tc>
        <w:tc>
          <w:tcPr/>
          <w:p>
            <w:pPr>
              <w:pStyle w:val="Compact"/>
              <w:jc w:val="left"/>
            </w:pPr>
            <w:r>
              <w:t xml:space="preserve">+37%</w:t>
            </w:r>
          </w:p>
        </w:tc>
        <w:tc>
          <w:tcPr/>
          <w:p>
            <w:pPr>
              <w:pStyle w:val="Compact"/>
              <w:jc w:val="left"/>
            </w:pPr>
            <w:r>
              <w:t xml:space="preserve">+14%</w:t>
            </w:r>
          </w:p>
        </w:tc>
      </w:tr>
      <w:tr>
        <w:tc>
          <w:tcPr/>
          <w:p>
            <w:pPr>
              <w:pStyle w:val="Compact"/>
              <w:jc w:val="left"/>
            </w:pPr>
            <w:r>
              <w:t xml:space="preserve">Client Acquisition Rate</w:t>
            </w:r>
          </w:p>
        </w:tc>
        <w:tc>
          <w:tcPr/>
          <w:p>
            <w:pPr>
              <w:pStyle w:val="Compact"/>
              <w:jc w:val="left"/>
            </w:pPr>
            <w:r>
              <w:t xml:space="preserve">42 new enterprise clients</w:t>
            </w:r>
          </w:p>
        </w:tc>
        <w:tc>
          <w:tcPr/>
          <w:p>
            <w:pPr>
              <w:pStyle w:val="Compact"/>
              <w:jc w:val="left"/>
            </w:pPr>
            <w:r>
              <w:t xml:space="preserve">+58%</w:t>
            </w:r>
          </w:p>
        </w:tc>
        <w:tc>
          <w:tcPr/>
          <w:p>
            <w:pPr>
              <w:pStyle w:val="Compact"/>
              <w:jc w:val="left"/>
            </w:pPr>
            <w:r>
              <w:t xml:space="preserve">29%</w:t>
            </w:r>
          </w:p>
        </w:tc>
      </w:tr>
      <w:tr>
        <w:tc>
          <w:tcPr/>
          <w:p>
            <w:pPr>
              <w:pStyle w:val="Compact"/>
              <w:jc w:val="left"/>
            </w:pPr>
            <w:r>
              <w:t xml:space="preserve">Average Deal Size</w:t>
            </w:r>
          </w:p>
        </w:tc>
        <w:tc>
          <w:tcPr/>
          <w:p>
            <w:pPr>
              <w:pStyle w:val="Compact"/>
              <w:jc w:val="left"/>
            </w:pPr>
            <w:r>
              <w:t xml:space="preserve">€154,000</w:t>
            </w:r>
          </w:p>
        </w:tc>
        <w:tc>
          <w:tcPr/>
          <w:p>
            <w:pPr>
              <w:pStyle w:val="Compact"/>
              <w:jc w:val="left"/>
            </w:pPr>
            <w:r>
              <w:t xml:space="preserve">+22%</w:t>
            </w:r>
          </w:p>
        </w:tc>
        <w:tc>
          <w:tcPr/>
          <w:p>
            <w:pPr>
              <w:pStyle w:val="Compact"/>
              <w:jc w:val="left"/>
            </w:pPr>
            <w:r>
              <w:t xml:space="preserve">+7%</w:t>
            </w:r>
          </w:p>
        </w:tc>
      </w:tr>
      <w:tr>
        <w:tc>
          <w:tcPr/>
          <w:p>
            <w:pPr>
              <w:pStyle w:val="Compact"/>
              <w:jc w:val="left"/>
            </w:pPr>
            <w:r>
              <w:t xml:space="preserve">Client Retention Rate</w:t>
            </w:r>
          </w:p>
        </w:tc>
        <w:tc>
          <w:tcPr/>
          <w:p>
            <w:pPr>
              <w:pStyle w:val="Compact"/>
              <w:jc w:val="left"/>
            </w:pPr>
            <w:r>
              <w:t xml:space="preserve">91%</w:t>
            </w:r>
          </w:p>
        </w:tc>
        <w:tc>
          <w:tcPr/>
          <w:p>
            <w:pPr>
              <w:pStyle w:val="Compact"/>
              <w:jc w:val="left"/>
            </w:pPr>
            <w:r>
              <w:t xml:space="preserve">+15%</w:t>
            </w:r>
          </w:p>
        </w:tc>
        <w:tc>
          <w:tcPr/>
          <w:p>
            <w:pPr>
              <w:pStyle w:val="Compact"/>
              <w:jc w:val="left"/>
            </w:pPr>
            <w:r>
              <w:t xml:space="preserve">82%</w:t>
            </w:r>
          </w:p>
        </w:tc>
      </w:tr>
    </w:tbl>
    <w:bookmarkEnd w:id="22"/>
    <w:bookmarkStart w:id="23" w:name="physicist-driven-sales-methodology"/>
    <w:p>
      <w:pPr>
        <w:pStyle w:val="Heading2"/>
      </w:pPr>
      <w:r>
        <w:t xml:space="preserve">Physicist-Driven Sales Methodology</w:t>
      </w:r>
    </w:p>
    <w:p>
      <w:pPr>
        <w:pStyle w:val="FirstParagraph"/>
      </w:pPr>
      <w:r>
        <w:t xml:space="preserve">Our sales model in Berlin diverges fundamentally from traditional approaches. Each client engagement begins with a technical deep-dive session led by our</w:t>
      </w:r>
      <w:r>
        <w:t xml:space="preserve"> </w:t>
      </w:r>
      <w:r>
        <w:rPr>
          <w:bCs/>
          <w:b/>
        </w:rPr>
        <w:t xml:space="preserve">Physicist</w:t>
      </w:r>
      <w:r>
        <w:t xml:space="preserve">, where we co-analyze client problems through the lens of quantum dynamics or nanoscale material behavior. For instance, at Siemens Healthineers' Berlin R&amp;D center, our physicist sales lead diagnosed magnetic resonance imaging limitations using principles from condensed matter physics, resulting in a €1.2M contract for custom sensor arrays—unthinkable with conventional sales personnel. This methodology reduces the sales cycle by 33% (from 14 to 9.5 weeks) and increases solution adoption rates by 47%, as documented in our Berlin client satisfaction surveys.</w:t>
      </w:r>
    </w:p>
    <w:bookmarkEnd w:id="23"/>
    <w:bookmarkStart w:id="24" w:name="berlin-market-intelligence"/>
    <w:p>
      <w:pPr>
        <w:pStyle w:val="Heading2"/>
      </w:pPr>
      <w:r>
        <w:t xml:space="preserve">Berlin Market Intelligence</w:t>
      </w:r>
    </w:p>
    <w:p>
      <w:pPr>
        <w:pStyle w:val="FirstParagraph"/>
      </w:pPr>
      <w:r>
        <w:t xml:space="preserve">The success of this model is intrinsically tied to Berlin's unique scientific landscape. Unlike Munich's industrial focus or Hamburg's maritime sector, Berlin prioritizes fundamental research commercialization. Our team identified this through weekly data analysis at the</w:t>
      </w:r>
      <w:r>
        <w:t xml:space="preserve"> </w:t>
      </w:r>
      <w:r>
        <w:rPr>
          <w:iCs/>
          <w:i/>
        </w:rPr>
        <w:t xml:space="preserve">Physikzentrum Berlin</w:t>
      </w:r>
      <w:r>
        <w:t xml:space="preserve">, revealing that 68% of procurement decisions hinge on peer-reviewed technical validation—a metric our</w:t>
      </w:r>
      <w:r>
        <w:t xml:space="preserve"> </w:t>
      </w:r>
      <w:r>
        <w:rPr>
          <w:bCs/>
          <w:b/>
        </w:rPr>
        <w:t xml:space="preserve">Physicist</w:t>
      </w:r>
      <w:r>
        <w:t xml:space="preserve">s excel at delivering. In Q3 alone, we secured three major contracts with Charité Medical School and the Berliner Physikalische Gesellschaft by presenting custom simulation models demonstrating 22% efficiency gains in their quantum computing labs.</w:t>
      </w:r>
    </w:p>
    <w:bookmarkEnd w:id="24"/>
    <w:bookmarkStart w:id="25" w:name="overcoming-technical-sales-challenges"/>
    <w:p>
      <w:pPr>
        <w:pStyle w:val="Heading2"/>
      </w:pPr>
      <w:r>
        <w:t xml:space="preserve">Overcoming Technical Sales Challenges</w:t>
      </w:r>
    </w:p>
    <w:p>
      <w:pPr>
        <w:pStyle w:val="FirstParagraph"/>
      </w:pPr>
      <w:r>
        <w:t xml:space="preserve">Early in our Berlin expansion, clients questioned the value of a physicist in sales roles. This skepticism evaporated when our lead</w:t>
      </w:r>
      <w:r>
        <w:t xml:space="preserve"> </w:t>
      </w:r>
      <w:r>
        <w:rPr>
          <w:bCs/>
          <w:b/>
        </w:rPr>
        <w:t xml:space="preserve">Physicist</w:t>
      </w:r>
      <w:r>
        <w:t xml:space="preserve">, Dr. Lena Vogel (PhD Quantum Optics), resolved a critical signal interference issue for Bosch's new lidar system during a live demo—diagnosing it as a Fresnel diffraction problem that generic sales teams couldn't address. This incident became our flagship case study, featured in the Berlin Science &amp; Technology Journal. We've since trained 100% of Berlin sales staff in core physics principles, transforming objections into opportunities through technical authority.</w:t>
      </w:r>
    </w:p>
    <w:bookmarkEnd w:id="25"/>
    <w:bookmarkStart w:id="26" w:name="future-strategy-for-germany-berlin"/>
    <w:p>
      <w:pPr>
        <w:pStyle w:val="Heading2"/>
      </w:pPr>
      <w:r>
        <w:t xml:space="preserve">Future Strategy for Germany Berlin</w:t>
      </w:r>
    </w:p>
    <w:p>
      <w:pPr>
        <w:pStyle w:val="FirstParagraph"/>
      </w:pPr>
      <w:r>
        <w:t xml:space="preserve">Based on Q3 results, our strategic priorities for</w:t>
      </w:r>
      <w:r>
        <w:t xml:space="preserve"> </w:t>
      </w:r>
      <w:r>
        <w:rPr>
          <w:iCs/>
          <w:i/>
        </w:rPr>
        <w:t xml:space="preserve">Germany Berlin</w:t>
      </w:r>
      <w:r>
        <w:t xml:space="preserve"> </w:t>
      </w:r>
      <w:r>
        <w:t xml:space="preserve">include:</w:t>
      </w:r>
    </w:p>
    <w:p>
      <w:pPr>
        <w:numPr>
          <w:ilvl w:val="0"/>
          <w:numId w:val="1001"/>
        </w:numPr>
        <w:pStyle w:val="Compact"/>
      </w:pPr>
      <w:r>
        <w:rPr>
          <w:bCs/>
          <w:b/>
        </w:rPr>
        <w:t xml:space="preserve">Physics-First Client Onboarding:</w:t>
      </w:r>
      <w:r>
        <w:t xml:space="preserve"> </w:t>
      </w:r>
      <w:r>
        <w:t xml:space="preserve">Integrating our physicist sales team into client R&amp;D sprint cycles to co-develop solutions (piloted with HZB Berlin, achieving 98% solution adoption)</w:t>
      </w:r>
    </w:p>
    <w:p>
      <w:pPr>
        <w:numPr>
          <w:ilvl w:val="0"/>
          <w:numId w:val="1001"/>
        </w:numPr>
        <w:pStyle w:val="Compact"/>
      </w:pPr>
      <w:r>
        <w:rPr>
          <w:bCs/>
          <w:b/>
        </w:rPr>
        <w:t xml:space="preserve">Quantum Tech Expansion:</w:t>
      </w:r>
      <w:r>
        <w:t xml:space="preserve"> </w:t>
      </w:r>
      <w:r>
        <w:t xml:space="preserve">Targeting 25 new quantum computing clients in Berlin by Q1 2024 after securing EU Horizon Europe funding</w:t>
      </w:r>
    </w:p>
    <w:p>
      <w:pPr>
        <w:numPr>
          <w:ilvl w:val="0"/>
          <w:numId w:val="1001"/>
        </w:numPr>
        <w:pStyle w:val="Compact"/>
      </w:pPr>
      <w:r>
        <w:rPr>
          <w:bCs/>
          <w:b/>
        </w:rPr>
        <w:t xml:space="preserve">Talent Development:</w:t>
      </w:r>
      <w:r>
        <w:t xml:space="preserve"> </w:t>
      </w:r>
      <w:r>
        <w:t xml:space="preserve">Launching the "Berlin Physicist Sales Academy" to certify 30+ sales engineers within two years</w:t>
      </w:r>
    </w:p>
    <w:bookmarkEnd w:id="26"/>
    <w:bookmarkStart w:id="27" w:name="X54ca6d334d4de1ff9d08fa2694dbdcf3ef7c216"/>
    <w:p>
      <w:pPr>
        <w:pStyle w:val="Heading2"/>
      </w:pPr>
      <w:r>
        <w:t xml:space="preserve">Conclusion: The Physics-Driven Sales Imperative</w:t>
      </w:r>
    </w:p>
    <w:p>
      <w:pPr>
        <w:pStyle w:val="FirstParagraph"/>
      </w:pPr>
      <w:r>
        <w:t xml:space="preserve">This</w:t>
      </w:r>
      <w:r>
        <w:t xml:space="preserve"> </w:t>
      </w:r>
      <w:r>
        <w:rPr>
          <w:bCs/>
          <w:b/>
        </w:rPr>
        <w:t xml:space="preserve">Sales Report</w:t>
      </w:r>
      <w:r>
        <w:t xml:space="preserve"> </w:t>
      </w:r>
      <w:r>
        <w:t xml:space="preserve">unequivocally demonstrates that in the high-stakes market of</w:t>
      </w:r>
      <w:r>
        <w:t xml:space="preserve"> </w:t>
      </w:r>
      <w:r>
        <w:rPr>
          <w:iCs/>
          <w:i/>
        </w:rPr>
        <w:t xml:space="preserve">Germany Berlin</w:t>
      </w:r>
      <w:r>
        <w:t xml:space="preserve">, a traditional sales approach is insufficient. Our physicist-led model has not only delivered exceptional revenue growth but also established us as the technical partner of choice for Berlin's scientific ecosystem. The data is clear: where physics expertise meets sales strategy, client trust becomes tangible value. As we prepare for the 2024 expansion into Germany's quantum industry corridor (connecting Berlin-Tübingen), this model will remain our cornerstone. We recommend scaling this physicist-integrated approach across all European markets where technical differentiation drives commercial outcomes.</w:t>
      </w:r>
    </w:p>
    <w:p>
      <w:pPr>
        <w:pStyle w:val="BodyText"/>
      </w:pPr>
      <w:r>
        <w:t xml:space="preserve">Prepared by the Physics Sales Strategy Unit | Berlin Office</w:t>
      </w:r>
    </w:p>
    <w:p>
      <w:pPr>
        <w:pStyle w:val="BodyText"/>
      </w:pPr>
      <w:r>
        <w:t xml:space="preserve">Date: October 26, 2023 | Confidential for Internal Use Only</w:t>
      </w:r>
    </w:p>
    <w:p>
      <w:pPr>
        <w:pStyle w:val="BodyText"/>
      </w:pPr>
      <w:r>
        <w:rPr>
          <w:bCs/>
          <w:b/>
        </w:rPr>
        <w:t xml:space="preserve">Key Insight:</w:t>
      </w:r>
      <w:r>
        <w:t xml:space="preserve"> </w:t>
      </w:r>
      <w:r>
        <w:t xml:space="preserve">In Berlin's market, a physicist doesn't just sell— they engineer trust through technical mastery. This Sales Report confirms that without the Physicist's role, we would have captured only 52% of the quantum technology segment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Germany Berlin Market Performance</dc:title>
  <dc:creator/>
  <dc:language>en</dc:language>
  <cp:keywords/>
  <dcterms:created xsi:type="dcterms:W3CDTF">2026-07-14T11:46:08Z</dcterms:created>
  <dcterms:modified xsi:type="dcterms:W3CDTF">2026-07-14T11:46:08Z</dcterms:modified>
</cp:coreProperties>
</file>

<file path=docProps/custom.xml><?xml version="1.0" encoding="utf-8"?>
<Properties xmlns="http://schemas.openxmlformats.org/officeDocument/2006/custom-properties" xmlns:vt="http://schemas.openxmlformats.org/officeDocument/2006/docPropsVTypes"/>
</file>