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Physicist-Driven</w:t>
      </w:r>
      <w:r>
        <w:t xml:space="preserve"> </w:t>
      </w:r>
      <w:r>
        <w:t xml:space="preserve">Sales</w:t>
      </w:r>
      <w:r>
        <w:t xml:space="preserve"> </w:t>
      </w:r>
      <w:r>
        <w:t xml:space="preserve">Performance</w:t>
      </w:r>
      <w:r>
        <w:t xml:space="preserve"> </w:t>
      </w:r>
      <w:r>
        <w:t xml:space="preserve">Report:</w:t>
      </w:r>
      <w:r>
        <w:t xml:space="preserve"> </w:t>
      </w:r>
      <w:r>
        <w:t xml:space="preserve">Germany</w:t>
      </w:r>
      <w:r>
        <w:t xml:space="preserve"> </w:t>
      </w:r>
      <w:r>
        <w:t xml:space="preserve">Frankfurt</w:t>
      </w:r>
      <w:r>
        <w:t xml:space="preserve"> </w:t>
      </w:r>
      <w:r>
        <w:t xml:space="preserve">Market</w:t>
      </w:r>
    </w:p>
    <w:bookmarkStart w:id="28" w:name="Xbfaf659bbb62321d4b89225d1684a35a85dc125"/>
    <w:p>
      <w:pPr>
        <w:pStyle w:val="Heading1"/>
      </w:pPr>
      <w:r>
        <w:t xml:space="preserve">Sales Report: Physicist-Driven Innovation and Market Expansion in Germany Frankfurt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Stakeholders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exceptional performance of our physicist-led sales team in Germany Frankfurt, demonstrating how technical expertise directly drives market dominance in high-value scientific instrumentation. Despite global economic headwinds, the Frankfurt operation achieved a 28% year-over-year revenue surge, exceeding targets by 15%. Crucially, this success stems from embedding</w:t>
      </w:r>
      <w:r>
        <w:t xml:space="preserve"> </w:t>
      </w:r>
      <w:r>
        <w:rPr>
          <w:bCs/>
          <w:b/>
        </w:rPr>
        <w:t xml:space="preserve">Physicist</w:t>
      </w:r>
      <w:r>
        <w:t xml:space="preserve"> </w:t>
      </w:r>
      <w:r>
        <w:t xml:space="preserve">professionals within our sales ecosystem—a strategic differentiator that has solidified our position as Germany’s preferred partner for cutting-edge quantum and precision measurement solutions. Frankfurt, as Europe’s financial and innovation nexus, remains the critical engine for our German market growth.</w:t>
      </w:r>
    </w:p>
    <w:bookmarkEnd w:id="20"/>
    <w:bookmarkStart w:id="22" w:name="X7c921d25784f9aede040ebed5e0493e5c08a64a"/>
    <w:p>
      <w:pPr>
        <w:pStyle w:val="Heading2"/>
      </w:pPr>
      <w:r>
        <w:t xml:space="preserve">II. Frankfurt Market Context: Why Physics-Driven Sales Matters</w:t>
      </w:r>
    </w:p>
    <w:p>
      <w:pPr>
        <w:pStyle w:val="FirstParagraph"/>
      </w:pPr>
      <w:r>
        <w:t xml:space="preserve">Germany Frankfurt operates at the heart of Europe’s scientific economy. Home to 38% of Germany’s top research institutions (including Goethe University, Fraunhofer Institutes, and CERN-affiliated labs), the region generates €42 billion annually in physics-related R&amp;D spending. Traditional sales teams historically struggled with technical objections from PhD-level clients—until our</w:t>
      </w:r>
      <w:r>
        <w:t xml:space="preserve"> </w:t>
      </w:r>
      <w:r>
        <w:rPr>
          <w:bCs/>
          <w:b/>
        </w:rPr>
        <w:t xml:space="preserve">Physicist</w:t>
      </w:r>
      <w:r>
        <w:t xml:space="preserve"> </w:t>
      </w:r>
      <w:r>
        <w:t xml:space="preserve">sales specialists entered the field. In Germany’s highly competitive Frankfurt market, where 73% of scientific procurement decisions hinge on technical credibility (GfK 2023), having a physicist on-site isn’t just advantageous—it’s mandatory for closing complex deals.</w:t>
      </w:r>
    </w:p>
    <w:bookmarkStart w:id="21" w:name="key-frankfurt-market-insights"/>
    <w:p>
      <w:pPr>
        <w:pStyle w:val="Heading3"/>
      </w:pPr>
      <w:r>
        <w:t xml:space="preserve">Key Frankfurt Market Insights:</w:t>
      </w:r>
    </w:p>
    <w:p>
      <w:pPr>
        <w:numPr>
          <w:ilvl w:val="0"/>
          <w:numId w:val="1001"/>
        </w:numPr>
        <w:pStyle w:val="Compact"/>
      </w:pPr>
      <w:r>
        <w:rPr>
          <w:bCs/>
          <w:b/>
        </w:rPr>
        <w:t xml:space="preserve">Quantum Computing Demand:</w:t>
      </w:r>
      <w:r>
        <w:t xml:space="preserve"> </w:t>
      </w:r>
      <w:r>
        <w:t xml:space="preserve">Frankfurt-based startups (e.g., QuantumBase, QMware) increased R&amp;D spend by 41% YoY, requiring specialized sales expertise.</w:t>
      </w:r>
    </w:p>
    <w:p>
      <w:pPr>
        <w:numPr>
          <w:ilvl w:val="0"/>
          <w:numId w:val="1001"/>
        </w:numPr>
        <w:pStyle w:val="Compact"/>
      </w:pPr>
      <w:r>
        <w:rPr>
          <w:bCs/>
          <w:b/>
        </w:rPr>
        <w:t xml:space="preserve">Tech Procurement Shifts:</w:t>
      </w:r>
      <w:r>
        <w:t xml:space="preserve"> </w:t>
      </w:r>
      <w:r>
        <w:t xml:space="preserve">German labs now demand pre-sales technical validation—physicist-led demos reduced client skepticism by 62% (internal survey).</w:t>
      </w:r>
    </w:p>
    <w:p>
      <w:pPr>
        <w:numPr>
          <w:ilvl w:val="0"/>
          <w:numId w:val="1001"/>
        </w:numPr>
        <w:pStyle w:val="Compact"/>
      </w:pPr>
      <w:r>
        <w:rPr>
          <w:bCs/>
          <w:b/>
        </w:rPr>
        <w:t xml:space="preserve">Regulatory Landscape:</w:t>
      </w:r>
      <w:r>
        <w:t xml:space="preserve"> </w:t>
      </w:r>
      <w:r>
        <w:t xml:space="preserve">GDPR-compliant data handling for quantum sensors requires physics-level understanding, which our team provides.</w:t>
      </w:r>
    </w:p>
    <w:bookmarkEnd w:id="21"/>
    <w:bookmarkEnd w:id="22"/>
    <w:bookmarkStart w:id="23" w:name="Xce6a814ab200ffbb0e4d1e86a527ffff14c588f"/>
    <w:p>
      <w:pPr>
        <w:pStyle w:val="Heading2"/>
      </w:pPr>
      <w:r>
        <w:t xml:space="preserve">III. Physicist-Driven Sales Performance: Q3 2023 Highlights</w:t>
      </w:r>
    </w:p>
    <w:p>
      <w:pPr>
        <w:pStyle w:val="FirstParagraph"/>
      </w:pPr>
      <w:r>
        <w:t xml:space="preserve">The Frankfurt sales unit—comprising 7 physicists (PhDs in Quantum Optics, Nanotechnology, and Solid-State Physics)—delivered record results by leveraging technical depth to navigate Germany’s nuanced procurement process.</w:t>
      </w:r>
    </w:p>
    <w:p>
      <w:pPr>
        <w:pStyle w:val="BodyText"/>
      </w:pPr>
      <w:r>
        <w:t xml:space="preserve">KPI</w:t>
      </w:r>
    </w:p>
    <w:p>
      <w:pPr>
        <w:pStyle w:val="BodyText"/>
      </w:pPr>
      <w:r>
        <w:t xml:space="preserve">Q3 2023</w:t>
      </w:r>
    </w:p>
    <w:p>
      <w:pPr>
        <w:pStyle w:val="BodyText"/>
      </w:pPr>
      <w:r>
        <w:t xml:space="preserve">Q3 2022</w:t>
      </w:r>
    </w:p>
    <w:p>
      <w:pPr>
        <w:pStyle w:val="BodyText"/>
      </w:pPr>
      <w:r>
        <w:t xml:space="preserve">Δ YoY</w:t>
      </w:r>
    </w:p>
    <w:p>
      <w:pPr>
        <w:pStyle w:val="BodyText"/>
      </w:pPr>
      <w:r>
        <w:t xml:space="preserve">Total Revenue (€)</w:t>
      </w:r>
    </w:p>
    <w:p>
      <w:pPr>
        <w:pStyle w:val="BodyText"/>
      </w:pPr>
      <w:r>
        <w:t xml:space="preserve">€14.8M</w:t>
      </w:r>
    </w:p>
    <w:p>
      <w:pPr>
        <w:pStyle w:val="BodyText"/>
      </w:pPr>
      <w:r>
        <w:t xml:space="preserve">€11.6M</w:t>
      </w:r>
    </w:p>
    <w:p>
      <w:pPr>
        <w:pStyle w:val="BodyText"/>
      </w:pPr>
      <w:r>
        <w:t xml:space="preserve">+28%</w:t>
      </w:r>
    </w:p>
    <w:p>
      <w:pPr>
        <w:pStyle w:val="BodyText"/>
      </w:pPr>
      <w:r>
        <w:t xml:space="preserve">Largest Deal Value (Avg.)</w:t>
      </w:r>
    </w:p>
    <w:p>
      <w:pPr>
        <w:pStyle w:val="BodyText"/>
      </w:pPr>
      <w:r>
        <w:t xml:space="preserve">€2.3M</w:t>
      </w:r>
    </w:p>
    <w:p>
      <w:pPr>
        <w:pStyle w:val="BodyText"/>
      </w:pPr>
      <w:r>
        <w:t xml:space="preserve">€1.7M</w:t>
      </w:r>
    </w:p>
    <w:p>
      <w:pPr>
        <w:pStyle w:val="BodyText"/>
      </w:pPr>
      <w:r>
        <w:t xml:space="preserve">+35%</w:t>
      </w:r>
    </w:p>
    <w:p>
      <w:pPr>
        <w:pStyle w:val="BodyText"/>
      </w:pPr>
      <w:r>
        <w:t xml:space="preserve">94%</w:t>
      </w:r>
    </w:p>
    <w:bookmarkEnd w:id="23"/>
    <w:bookmarkStart w:id="24" w:name="X1be3f3ffe6e0eb246e43ac2e2c79e272dfd1c4b"/>
    <w:p>
      <w:pPr>
        <w:pStyle w:val="Heading2"/>
      </w:pPr>
      <w:r>
        <w:t xml:space="preserve">IV. How Physicist Sales Professionals Create Competitive Advantage in Germany Frankfurt</w:t>
      </w:r>
    </w:p>
    <w:p>
      <w:pPr>
        <w:pStyle w:val="FirstParagraph"/>
      </w:pPr>
      <w:r>
        <w:t xml:space="preserve">In Germany’s market, where technical due diligence is non-negotiable, our physicist salesforce transformed customer engagement. For example:</w:t>
      </w:r>
    </w:p>
    <w:p>
      <w:pPr>
        <w:numPr>
          <w:ilvl w:val="0"/>
          <w:numId w:val="1002"/>
        </w:numPr>
        <w:pStyle w:val="Compact"/>
      </w:pPr>
      <w:r>
        <w:rPr>
          <w:bCs/>
          <w:b/>
        </w:rPr>
        <w:t xml:space="preserve">Case Study: Siemens Healthineers Collaboration:</w:t>
      </w:r>
      <w:r>
        <w:t xml:space="preserve"> </w:t>
      </w:r>
      <w:r>
        <w:t xml:space="preserve">A quantum sensor sale required explaining coherence time trade-offs in MRI systems. Our Quantum Physics specialist (Dr. Lena Müller) co-developed a 3D simulation model with Siemens engineers, closing a €4.2M deal that would have stalled with traditional sales reps.</w:t>
      </w:r>
    </w:p>
    <w:p>
      <w:pPr>
        <w:numPr>
          <w:ilvl w:val="0"/>
          <w:numId w:val="1002"/>
        </w:numPr>
        <w:pStyle w:val="Compact"/>
      </w:pPr>
      <w:r>
        <w:rPr>
          <w:bCs/>
          <w:b/>
        </w:rPr>
        <w:t xml:space="preserve">Client Trust Metrics:</w:t>
      </w:r>
      <w:r>
        <w:t xml:space="preserve"> </w:t>
      </w:r>
      <w:r>
        <w:t xml:space="preserve">89% of Frankfurt clients cited "technical expertise" as the primary reason for choosing our firm over competitors—up from 57% pre-physicist integration (Q1 2023).</w:t>
      </w:r>
    </w:p>
    <w:p>
      <w:pPr>
        <w:numPr>
          <w:ilvl w:val="0"/>
          <w:numId w:val="1002"/>
        </w:numPr>
        <w:pStyle w:val="Compact"/>
      </w:pPr>
      <w:r>
        <w:rPr>
          <w:bCs/>
          <w:b/>
        </w:rPr>
        <w:t xml:space="preserve">Negotiation Impact:</w:t>
      </w:r>
      <w:r>
        <w:t xml:space="preserve"> </w:t>
      </w:r>
      <w:r>
        <w:t xml:space="preserve">Physicists identified hidden cost drivers in calibration protocols, reducing client TCO by 22% and enabling premium pricing for our systems.</w:t>
      </w:r>
    </w:p>
    <w:p>
      <w:pPr>
        <w:pStyle w:val="FirstParagraph"/>
      </w:pPr>
      <w:r>
        <w:t xml:space="preserve">This technical credibility directly translates to market share gains: In Germany Frankfurt, we captured 31% of the quantum instrumentation segment—a 19-point increase since integrating physicist sales roles in early 2022.</w:t>
      </w:r>
    </w:p>
    <w:bookmarkEnd w:id="24"/>
    <w:bookmarkStart w:id="25" w:name="X7f5a1ff83ae94e009d73ebd9f787c4e3604f7e9"/>
    <w:p>
      <w:pPr>
        <w:pStyle w:val="Heading2"/>
      </w:pPr>
      <w:r>
        <w:t xml:space="preserve">V. Challenges &amp; Strategic Imperatives for Germany Frankfurt</w:t>
      </w:r>
    </w:p>
    <w:p>
      <w:pPr>
        <w:pStyle w:val="FirstParagraph"/>
      </w:pPr>
      <w:r>
        <w:t xml:space="preserve">Despite success, three challenges require urgent attention:</w:t>
      </w:r>
    </w:p>
    <w:p>
      <w:pPr>
        <w:numPr>
          <w:ilvl w:val="0"/>
          <w:numId w:val="1003"/>
        </w:numPr>
        <w:pStyle w:val="Compact"/>
      </w:pPr>
      <w:r>
        <w:rPr>
          <w:bCs/>
          <w:b/>
        </w:rPr>
        <w:t xml:space="preserve">Talent Competition:</w:t>
      </w:r>
      <w:r>
        <w:t xml:space="preserve"> </w:t>
      </w:r>
      <w:r>
        <w:t xml:space="preserve">German universities (e.g., TU Darmstadt, Technical University of Munich) are recruiting physicists into academic roles at 3x our salary offers. Solution: Implement a Frankfurt-specific "Physicist Growth Track" with accelerated leadership pathways.</w:t>
      </w:r>
    </w:p>
    <w:p>
      <w:pPr>
        <w:numPr>
          <w:ilvl w:val="0"/>
          <w:numId w:val="1003"/>
        </w:numPr>
        <w:pStyle w:val="Compact"/>
      </w:pPr>
      <w:r>
        <w:rPr>
          <w:bCs/>
          <w:b/>
        </w:rPr>
        <w:t xml:space="preserve">Regulatory Complexity:</w:t>
      </w:r>
      <w:r>
        <w:t xml:space="preserve"> </w:t>
      </w:r>
      <w:r>
        <w:t xml:space="preserve">New EU AI Act requirements for physics-based instruments demand deeper technical sales knowledge. Solution: Co-develop compliance training modules with Frankfurt’s Max Planck Institute.</w:t>
      </w:r>
    </w:p>
    <w:p>
      <w:pPr>
        <w:numPr>
          <w:ilvl w:val="0"/>
          <w:numId w:val="1003"/>
        </w:numPr>
        <w:pStyle w:val="Compact"/>
      </w:pPr>
      <w:r>
        <w:rPr>
          <w:bCs/>
          <w:b/>
        </w:rPr>
        <w:t xml:space="preserve">Market Fragmentation:</w:t>
      </w:r>
      <w:r>
        <w:t xml:space="preserve"> </w:t>
      </w:r>
      <w:r>
        <w:t xml:space="preserve">Small biotech labs in Frankfurt (e.g., in the Bio-Region Hessen) lack budget for quantum tools. Solution: Launch "Physicist-Consulted" entry-level packages at 30% lower cost.</w:t>
      </w:r>
    </w:p>
    <w:bookmarkEnd w:id="25"/>
    <w:bookmarkStart w:id="26" w:name="X32259afdbce011346486b756d2481fc64ec6d9c"/>
    <w:p>
      <w:pPr>
        <w:pStyle w:val="Heading2"/>
      </w:pPr>
      <w:r>
        <w:t xml:space="preserve">VI. Future Outlook: Scaling Physics-Centric Sales in Germany Frankfurt</w:t>
      </w:r>
    </w:p>
    <w:p>
      <w:pPr>
        <w:pStyle w:val="FirstParagraph"/>
      </w:pPr>
      <w:r>
        <w:t xml:space="preserve">We project 35% revenue growth for Frankfurt in Q4 2023, fueled by two initiatives:</w:t>
      </w:r>
    </w:p>
    <w:p>
      <w:pPr>
        <w:numPr>
          <w:ilvl w:val="0"/>
          <w:numId w:val="1004"/>
        </w:numPr>
        <w:pStyle w:val="Compact"/>
      </w:pPr>
      <w:r>
        <w:rPr>
          <w:bCs/>
          <w:b/>
        </w:rPr>
        <w:t xml:space="preserve">Frankfurt Quantum Innovation Hub:</w:t>
      </w:r>
      <w:r>
        <w:t xml:space="preserve"> </w:t>
      </w:r>
      <w:r>
        <w:t xml:space="preserve">Partnering with the City of Frankfurt to establish a dedicated physics-sales training center (launching Q1 2024), co-located near research parks. This will reduce onboarding time by 50%.</w:t>
      </w:r>
    </w:p>
    <w:p>
      <w:pPr>
        <w:numPr>
          <w:ilvl w:val="0"/>
          <w:numId w:val="1004"/>
        </w:numPr>
        <w:pStyle w:val="Compact"/>
      </w:pPr>
      <w:r>
        <w:rPr>
          <w:bCs/>
          <w:b/>
        </w:rPr>
        <w:t xml:space="preserve">Physicist Sales Tech Stack:</w:t>
      </w:r>
      <w:r>
        <w:t xml:space="preserve"> </w:t>
      </w:r>
      <w:r>
        <w:t xml:space="preserve">Deploying AI tools that translate physics data into client-facing sales insights—currently in pilot with Heidelberg University’s lab network.</w:t>
      </w:r>
    </w:p>
    <w:p>
      <w:pPr>
        <w:pStyle w:val="FirstParagraph"/>
      </w:pPr>
      <w:r>
        <w:t xml:space="preserve">Germany Frankfurt’s role as Europe’s scientific capital makes it indispensable to our global strategy. As one of Germany’s top 3 science hubs (per BMWi), its ecosystem demands that every sale is backed by physics mastery. This isn’t merely a sales tactic; it’s the foundation for sustainable dominance in Europe's most sophisticated technical markets.</w:t>
      </w:r>
    </w:p>
    <w:bookmarkEnd w:id="26"/>
    <w:bookmarkStart w:id="27" w:name="vii.-conclusion"/>
    <w:p>
      <w:pPr>
        <w:pStyle w:val="Heading2"/>
      </w:pPr>
      <w:r>
        <w:t xml:space="preserve">VII. Conclusion</w:t>
      </w:r>
    </w:p>
    <w:p>
      <w:pPr>
        <w:pStyle w:val="FirstParagraph"/>
      </w:pPr>
      <w:r>
        <w:t xml:space="preserve">The Sales Report unequivocally confirms that embedding</w:t>
      </w:r>
      <w:r>
        <w:t xml:space="preserve"> </w:t>
      </w:r>
      <w:r>
        <w:rPr>
          <w:bCs/>
          <w:b/>
        </w:rPr>
        <w:t xml:space="preserve">Physicist</w:t>
      </w:r>
      <w:r>
        <w:t xml:space="preserve"> </w:t>
      </w:r>
      <w:r>
        <w:t xml:space="preserve">professionals within our sales force is the catalyst behind Frankfurt’s market leadership. In Germany, where technical precision defines commercial success, we have turned physics expertise into a revenue engine—not a cost center. As we scale this model across Europe, Frankfurt remains the proving ground for how scientific rigor drives sales excellence. We recommend doubling down on physicist recruitment and training in Germany Frankfurt to capture 40%+ market share by 2025.</w:t>
      </w:r>
    </w:p>
    <w:p>
      <w:pPr>
        <w:pStyle w:val="BodyText"/>
      </w:pPr>
      <w:r>
        <w:rPr>
          <w:bCs/>
          <w:b/>
        </w:rPr>
        <w:t xml:space="preserve">Prepared By:</w:t>
      </w:r>
      <w:r>
        <w:t xml:space="preserve"> </w:t>
      </w:r>
      <w:r>
        <w:t xml:space="preserve">Dr. Armin Vogel, Head of European Sales Innovation</w:t>
      </w:r>
      <w:r>
        <w:br/>
      </w:r>
      <w:r>
        <w:rPr>
          <w:bCs/>
          <w:b/>
        </w:rPr>
        <w:t xml:space="preserve">Contact:</w:t>
      </w:r>
      <w:r>
        <w:t xml:space="preserve"> </w:t>
      </w:r>
      <w:r>
        <w:t xml:space="preserve">avogel@salesphysics.de | +49 (69) 123-4567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Physicist-Driven Sales Performance Report: Germany Frankfurt Market</dc:title>
  <dc:creator/>
  <dc:language>en</dc:language>
  <cp:keywords/>
  <dcterms:created xsi:type="dcterms:W3CDTF">2026-07-20T06:33:35Z</dcterms:created>
  <dcterms:modified xsi:type="dcterms:W3CDTF">2026-07-20T06:33:35Z</dcterms:modified>
</cp:coreProperties>
</file>

<file path=docProps/custom.xml><?xml version="1.0" encoding="utf-8"?>
<Properties xmlns="http://schemas.openxmlformats.org/officeDocument/2006/custom-properties" xmlns:vt="http://schemas.openxmlformats.org/officeDocument/2006/docPropsVTypes"/>
</file>