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Sales</w:t>
      </w:r>
      <w:r>
        <w:t xml:space="preserve"> </w:t>
      </w:r>
      <w:r>
        <w:t xml:space="preserve">Report:</w:t>
      </w:r>
      <w:r>
        <w:t xml:space="preserve"> </w:t>
      </w:r>
      <w:r>
        <w:t xml:space="preserve">Medical</w:t>
      </w:r>
      <w:r>
        <w:t xml:space="preserve"> </w:t>
      </w:r>
      <w:r>
        <w:t xml:space="preserve">Professional</w:t>
      </w:r>
      <w:r>
        <w:t xml:space="preserve"> </w:t>
      </w:r>
      <w:r>
        <w:t xml:space="preserve">Performance</w:t>
      </w:r>
    </w:p>
    <w:bookmarkStart w:id="27" w:name="X9b3e1abc59451822491a70231a0dc634fca932b"/>
    <w:p>
      <w:pPr>
        <w:pStyle w:val="Heading1"/>
      </w:pPr>
      <w:r>
        <w:t xml:space="preserve">Comprehensive Sales Report: Medical Professional Performance in Indonesia Jakarta (Q3 2023)</w:t>
      </w:r>
    </w:p>
    <w:p>
      <w:pPr>
        <w:pStyle w:val="FirstParagraph"/>
      </w:pPr>
      <w:r>
        <w:rPr>
          <w:bCs/>
          <w:b/>
        </w:rPr>
        <w:t xml:space="preserve">Prepared For:</w:t>
      </w:r>
      <w:r>
        <w:t xml:space="preserve"> </w:t>
      </w:r>
      <w:r>
        <w:t xml:space="preserve">Regional Executive Management, PT Medika Jaya Indonesia</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Coverage Area:</w:t>
      </w:r>
      <w:r>
        <w:t xml:space="preserve"> </w:t>
      </w:r>
      <w:r>
        <w:t xml:space="preserve">Jakarta Metropolitan Region (Jakarta Raya), Indonesia</w:t>
      </w:r>
    </w:p>
    <w:bookmarkStart w:id="20" w:name="i.-executive-summary"/>
    <w:p>
      <w:pPr>
        <w:pStyle w:val="Heading2"/>
      </w:pPr>
      <w:r>
        <w:t xml:space="preserve">I. Executive Summary</w:t>
      </w:r>
    </w:p>
    <w:p>
      <w:pPr>
        <w:pStyle w:val="FirstParagraph"/>
      </w:pPr>
      <w:r>
        <w:t xml:space="preserve">This report details the sales performance of medical professionals within PT Medika Jaya Indonesia's field operations across Indonesia Jakarta during Q3 2023. Despite economic fluctuations and healthcare sector challenges, our physician network achieved a 14.7% year-over-year growth in prescription volume, exceeding regional targets by 8.2%. The strategic deployment of specialized medical representatives (including clinical physicians) has proven critical in navigating Jakarta's dense urban healthcare landscape and meeting the demand for high-quality diagnostic services at key facilities like Ciputra Hospital, Siloam Hospitals, and Panti Wilantara Clinic.</w:t>
      </w:r>
    </w:p>
    <w:bookmarkEnd w:id="20"/>
    <w:bookmarkStart w:id="21" w:name="Xb3f86e60fdb6d58a4eb8c55bbd56c27f2317e28"/>
    <w:p>
      <w:pPr>
        <w:pStyle w:val="Heading2"/>
      </w:pPr>
      <w:r>
        <w:t xml:space="preserve">II. Market Context: Indonesia Jakarta Healthcare Dynamics</w:t>
      </w:r>
    </w:p>
    <w:p>
      <w:pPr>
        <w:pStyle w:val="FirstParagraph"/>
      </w:pPr>
      <w:r>
        <w:t xml:space="preserve">Indonesia Jakarta remains a high-potential yet complex market. With over 10 million residents and 340+ healthcare facilities operating within the city limits, competition is intense, particularly for premium pharmaceutical solutions targeting chronic conditions (diabetes, hypertension) prevalent in our urban population. The BPJS Kesehatan insurance scheme covers 86% of Jakarta's population, driving demand for cost-effective yet clinically superior products. Crucially, physician influence remains dominant in treatment decisions – with 72% of prescriptions originating from direct engagement with medical professionals across clinics and hospitals within the Jakarta metropolitan area.</w:t>
      </w:r>
    </w:p>
    <w:bookmarkEnd w:id="21"/>
    <w:bookmarkStart w:id="22" w:name="Xfa09c17fccf834d677276d21e0b26f2439874c7"/>
    <w:p>
      <w:pPr>
        <w:pStyle w:val="Heading2"/>
      </w:pPr>
      <w:r>
        <w:t xml:space="preserve">III. Sales Performance Highlights: Physician-Centric Strategy</w:t>
      </w:r>
    </w:p>
    <w:p>
      <w:pPr>
        <w:pStyle w:val="FirstParagraph"/>
      </w:pPr>
      <w:r>
        <w:t xml:space="preserve">Our Q3 results underscore the effectiveness of integrating clinical physicians into our sales structure:</w:t>
      </w:r>
    </w:p>
    <w:p>
      <w:pPr>
        <w:numPr>
          <w:ilvl w:val="0"/>
          <w:numId w:val="1001"/>
        </w:numPr>
        <w:pStyle w:val="Compact"/>
      </w:pPr>
      <w:r>
        <w:rPr>
          <w:bCs/>
          <w:b/>
        </w:rPr>
        <w:t xml:space="preserve">Prescription Volume Growth:</w:t>
      </w:r>
      <w:r>
        <w:t xml:space="preserve"> </w:t>
      </w:r>
      <w:r>
        <w:t xml:space="preserve">14.7% YoY (vs. regional avg. of 9.3%). Physician-led visits drove a 22% increase in high-value product prescriptions, particularly for our new cardiovascular line "CardioVista."</w:t>
      </w:r>
    </w:p>
    <w:p>
      <w:pPr>
        <w:numPr>
          <w:ilvl w:val="0"/>
          <w:numId w:val="1001"/>
        </w:numPr>
        <w:pStyle w:val="Compact"/>
      </w:pPr>
      <w:r>
        <w:rPr>
          <w:bCs/>
          <w:b/>
        </w:rPr>
        <w:t xml:space="preserve">Clinic Penetration Rate:</w:t>
      </w:r>
      <w:r>
        <w:t xml:space="preserve"> </w:t>
      </w:r>
      <w:r>
        <w:t xml:space="preserve">Increased from 68% to 79% across target facilities. Physicians' clinical expertise enabled deeper therapeutic discussions, securing placement in previously untapped clinics like the newly established Sinar Harapan Medical Center in South Jakarta.</w:t>
      </w:r>
    </w:p>
    <w:p>
      <w:pPr>
        <w:numPr>
          <w:ilvl w:val="0"/>
          <w:numId w:val="1001"/>
        </w:numPr>
        <w:pStyle w:val="Compact"/>
      </w:pPr>
      <w:r>
        <w:t xml:space="preserve">Average score of 4.6/5 for our medical team's clinical support (vs. industry avg. of 3.8). Key feedback highlighted "immediate access to clinical data during consultations" as a decisive factor in product adoption.</w:t>
      </w:r>
    </w:p>
    <w:p>
      <w:pPr>
        <w:numPr>
          <w:ilvl w:val="0"/>
          <w:numId w:val="1001"/>
        </w:numPr>
        <w:pStyle w:val="Compact"/>
      </w:pPr>
      <w:r>
        <w:rPr>
          <w:bCs/>
          <w:b/>
        </w:rPr>
        <w:t xml:space="preserve">District Performance Leader:</w:t>
      </w:r>
      <w:r>
        <w:t xml:space="preserve"> </w:t>
      </w:r>
      <w:r>
        <w:t xml:space="preserve">Jakarta Selatan (South Jakarta) achieved the highest growth rate at 19.4%, directly attributable to our specialized physician team's focus on high-density commercial zones near Sudirman Central Business District (SCBD).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(IDR)</w:t>
            </w:r>
          </w:p>
        </w:tc>
        <w:tc>
          <w:tcPr/>
          <w:p>
            <w:pPr>
              <w:pStyle w:val="Compact"/>
              <w:jc w:val="left"/>
            </w:pPr>
            <w:r>
              <w:t xml:space="preserve">YoY Growth</w:t>
            </w:r>
          </w:p>
        </w:tc>
        <w:tc>
          <w:tcPr/>
          <w:p>
            <w:pPr>
              <w:pStyle w:val="Compact"/>
              <w:jc w:val="left"/>
            </w:pPr>
            <w:r>
              <w:t xml:space="preserve">Physician-Driven Contribution (%)</w:t>
            </w:r>
          </w:p>
        </w:tc>
      </w:tr>
      <w:tr>
        <w:tc>
          <w:tcPr/>
          <w:p>
            <w:pPr>
              <w:pStyle w:val="Compact"/>
              <w:jc w:val="left"/>
            </w:pPr>
            <w:r>
              <w:t xml:space="preserve">Cardiovascular Therapeutics</w:t>
            </w:r>
          </w:p>
        </w:tc>
        <w:tc>
          <w:tcPr/>
          <w:p>
            <w:pPr>
              <w:pStyle w:val="Compact"/>
              <w:jc w:val="left"/>
            </w:pPr>
            <w:r>
              <w:t xml:space="preserve">IDR 218,500,000</w:t>
            </w:r>
          </w:p>
        </w:tc>
        <w:tc>
          <w:tcPr/>
          <w:p>
            <w:pPr>
              <w:pStyle w:val="Compact"/>
              <w:jc w:val="left"/>
            </w:pPr>
            <w:r>
              <w:t xml:space="preserve">+31.2%</w:t>
            </w:r>
          </w:p>
        </w:tc>
        <w:tc>
          <w:tcPr/>
          <w:p>
            <w:pPr>
              <w:pStyle w:val="Compact"/>
              <w:jc w:val="left"/>
            </w:pPr>
            <w:r>
              <w:t xml:space="preserve">78.6%</w:t>
            </w:r>
          </w:p>
        </w:tc>
      </w:tr>
      <w:tr>
        <w:tc>
          <w:tcPr/>
          <w:p>
            <w:pPr>
              <w:pStyle w:val="Compact"/>
              <w:jc w:val="left"/>
            </w:pPr>
            <w:r>
              <w:t xml:space="preserve">Diagnostics &amp; Imaging Solutions</w:t>
            </w:r>
          </w:p>
        </w:tc>
        <w:tc>
          <w:tcPr/>
          <w:p>
            <w:pPr>
              <w:pStyle w:val="Compact"/>
              <w:jc w:val="left"/>
            </w:pPr>
            <w:r>
              <w:t xml:space="preserve">IDR 94,750,000</w:t>
            </w:r>
          </w:p>
        </w:tc>
        <w:tc>
          <w:tcPr/>
          <w:p>
            <w:pPr>
              <w:pStyle w:val="Compact"/>
              <w:jc w:val="left"/>
            </w:pPr>
            <w:r>
              <w:t xml:space="preserve">+18.9%</w:t>
            </w:r>
          </w:p>
        </w:tc>
        <w:tc>
          <w:tcPr/>
          <w:p>
            <w:pPr>
              <w:pStyle w:val="Compact"/>
              <w:jc w:val="left"/>
            </w:pPr>
            <w:r>
              <w:t xml:space="preserve">65.3%</w:t>
            </w:r>
          </w:p>
        </w:tc>
      </w:tr>
      <w:tr>
        <w:tc>
          <w:tcPr/>
          <w:p>
            <w:pPr>
              <w:pStyle w:val="Compact"/>
              <w:jc w:val="left"/>
            </w:pPr>
            <w:r>
              <w:t xml:space="preserve">Chronic Disease Management Kits</w:t>
            </w:r>
          </w:p>
        </w:tc>
        <w:tc>
          <w:tcPr/>
          <w:p>
            <w:pPr>
              <w:pStyle w:val="Compact"/>
              <w:jc w:val="left"/>
            </w:pPr>
            <w:r>
              <w:t xml:space="preserve">IDR 142,300,000</w:t>
            </w:r>
          </w:p>
        </w:tc>
        <w:tc>
          <w:tcPr/>
          <w:p>
            <w:pPr>
              <w:pStyle w:val="Compact"/>
              <w:jc w:val="left"/>
            </w:pPr>
            <w:r>
              <w:t xml:space="preserve">+9.7%</w:t>
            </w:r>
          </w:p>
        </w:tc>
        <w:tc>
          <w:tcPr/>
          <w:p>
            <w:pPr>
              <w:pStyle w:val="Compact"/>
              <w:jc w:val="left"/>
            </w:pPr>
            <w:r>
              <w:t xml:space="preserve">52.1%</w:t>
            </w:r>
          </w:p>
        </w:tc>
      </w:tr>
    </w:tbl>
    <w:bookmarkEnd w:id="22"/>
    <w:bookmarkStart w:id="23" w:name="X45da798fc9c783212b5af3bd9e980849dbb7135"/>
    <w:p>
      <w:pPr>
        <w:pStyle w:val="Heading2"/>
      </w:pPr>
      <w:r>
        <w:t xml:space="preserve">IV. Key Challenges in Indonesia Jakarta Market</w:t>
      </w:r>
    </w:p>
    <w:p>
      <w:pPr>
        <w:pStyle w:val="FirstParagraph"/>
      </w:pPr>
      <w:r>
        <w:t xml:space="preserve">Operating within Indonesia Jakarta demands nuanced strategies:</w:t>
      </w:r>
    </w:p>
    <w:p>
      <w:pPr>
        <w:numPr>
          <w:ilvl w:val="0"/>
          <w:numId w:val="1002"/>
        </w:numPr>
        <w:pStyle w:val="Compact"/>
      </w:pPr>
      <w:r>
        <w:rPr>
          <w:bCs/>
          <w:b/>
        </w:rPr>
        <w:t xml:space="preserve">Regulatory Navigation:</w:t>
      </w:r>
      <w:r>
        <w:t xml:space="preserve"> </w:t>
      </w:r>
      <w:r>
        <w:t xml:space="preserve">Complex BPJS reimbursement pathways require precise physician communication to align product benefits with coverage criteria, delaying some sales cycles by 15-20 days.</w:t>
      </w:r>
    </w:p>
    <w:p>
      <w:pPr>
        <w:numPr>
          <w:ilvl w:val="0"/>
          <w:numId w:val="1002"/>
        </w:numPr>
        <w:pStyle w:val="Compact"/>
      </w:pPr>
      <w:r>
        <w:rPr>
          <w:bCs/>
          <w:b/>
        </w:rPr>
        <w:t xml:space="preserve">Dense Urban Competition:</w:t>
      </w:r>
      <w:r>
        <w:t xml:space="preserve"> </w:t>
      </w:r>
      <w:r>
        <w:t xml:space="preserve">Over 12 direct competitors aggressively targeting Jakarta's hospital procurement committees. Our physician network successfully countered this through evidence-based therapeutic workshops at institutions like Cipto Mangunkusumo Hospital.</w:t>
      </w:r>
    </w:p>
    <w:bookmarkEnd w:id="23"/>
    <w:bookmarkStart w:id="24" w:name="X901cf457af7ce219daabc24c500b9fbc15625ea"/>
    <w:p>
      <w:pPr>
        <w:pStyle w:val="Heading2"/>
      </w:pPr>
      <w:r>
        <w:t xml:space="preserve">V. Physician Network Strategy: Why It Works in Jakarta</w:t>
      </w:r>
    </w:p>
    <w:p>
      <w:pPr>
        <w:pStyle w:val="FirstParagraph"/>
      </w:pPr>
      <w:r>
        <w:t xml:space="preserve">The success in Indonesia Jakarta hinges on our physician-led approach:</w:t>
      </w:r>
    </w:p>
    <w:p>
      <w:pPr>
        <w:numPr>
          <w:ilvl w:val="0"/>
          <w:numId w:val="1003"/>
        </w:numPr>
        <w:pStyle w:val="Compact"/>
      </w:pPr>
      <w:r>
        <w:rPr>
          <w:bCs/>
          <w:b/>
        </w:rPr>
        <w:t xml:space="preserve">Trust Building:</w:t>
      </w:r>
      <w:r>
        <w:t xml:space="preserve"> </w:t>
      </w:r>
      <w:r>
        <w:t xml:space="preserve">Physicians (not just sales reps) conduct clinical audits and provide real-world data, building credibility with medical staff at institutions like Persahabatan Hospital. This is critical in Jakarta's high-expectation healthcare environment.</w:t>
      </w:r>
    </w:p>
    <w:p>
      <w:pPr>
        <w:numPr>
          <w:ilvl w:val="0"/>
          <w:numId w:val="1003"/>
        </w:numPr>
        <w:pStyle w:val="Compact"/>
      </w:pPr>
      <w:r>
        <w:rPr>
          <w:bCs/>
          <w:b/>
        </w:rPr>
        <w:t xml:space="preserve">Localized Solutions:</w:t>
      </w:r>
      <w:r>
        <w:t xml:space="preserve"> </w:t>
      </w:r>
      <w:r>
        <w:t xml:space="preserve">Our Jakarta-based physicians identified a demand for compact diagnostic kits suitable for crowded clinics in Kelapa Gading and Kemang. We accelerated product adaptation within 6 weeks, resulting in a 40% sales lift in those districts.</w:t>
      </w:r>
    </w:p>
    <w:p>
      <w:pPr>
        <w:numPr>
          <w:ilvl w:val="0"/>
          <w:numId w:val="1003"/>
        </w:numPr>
        <w:pStyle w:val="Compact"/>
      </w:pPr>
      <w:r>
        <w:rPr>
          <w:bCs/>
          <w:b/>
        </w:rPr>
        <w:t xml:space="preserve">Talent Retention:</w:t>
      </w:r>
      <w:r>
        <w:t xml:space="preserve"> </w:t>
      </w:r>
      <w:r>
        <w:t xml:space="preserve">Offering physician sales roles with clinical autonomy (e.g., managing specific hospital partnerships) reduced turnover by 35% compared to standard commercial roles. This stability ensures continuity in Jakarta's fast-paced market.</w:t>
      </w:r>
    </w:p>
    <w:bookmarkEnd w:id="24"/>
    <w:bookmarkStart w:id="25" w:name="X9bf5dc11de50cf8715086dba690c589e42567c3"/>
    <w:p>
      <w:pPr>
        <w:pStyle w:val="Heading2"/>
      </w:pPr>
      <w:r>
        <w:t xml:space="preserve">VI. Future Roadmap: Scaling Success Across Indonesia Jakarta</w:t>
      </w:r>
    </w:p>
    <w:p>
      <w:pPr>
        <w:pStyle w:val="FirstParagraph"/>
      </w:pPr>
      <w:r>
        <w:t xml:space="preserve">To sustain momentum, we propose:</w:t>
      </w:r>
    </w:p>
    <w:p>
      <w:pPr>
        <w:numPr>
          <w:ilvl w:val="0"/>
          <w:numId w:val="1004"/>
        </w:numPr>
        <w:pStyle w:val="Compact"/>
      </w:pPr>
      <w:r>
        <w:rPr>
          <w:bCs/>
          <w:b/>
        </w:rPr>
        <w:t xml:space="preserve">Expand Physician Network:</w:t>
      </w:r>
      <w:r>
        <w:t xml:space="preserve"> </w:t>
      </w:r>
      <w:r>
        <w:t xml:space="preserve">Add 3 specialized physicians for the Greater Jakarta (Jabodetabek) region by Q1 2024, focusing on East Jakarta (Bekasi/Cikarang corridor) where market penetration is still at 45%.</w:t>
      </w:r>
    </w:p>
    <w:p>
      <w:pPr>
        <w:numPr>
          <w:ilvl w:val="0"/>
          <w:numId w:val="1004"/>
        </w:numPr>
        <w:pStyle w:val="Compact"/>
      </w:pPr>
      <w:r>
        <w:rPr>
          <w:bCs/>
          <w:b/>
        </w:rPr>
        <w:t xml:space="preserve">Technology Integration:</w:t>
      </w:r>
      <w:r>
        <w:t xml:space="preserve"> </w:t>
      </w:r>
      <w:r>
        <w:t xml:space="preserve">Implement a Jakarta-specific mobile app for physicians to access real-time BPJS reimbursement data during clinic visits, reducing administrative friction by an estimated 25%.</w:t>
      </w:r>
    </w:p>
    <w:p>
      <w:pPr>
        <w:numPr>
          <w:ilvl w:val="0"/>
          <w:numId w:val="1004"/>
        </w:numPr>
        <w:pStyle w:val="Compact"/>
      </w:pPr>
      <w:r>
        <w:rPr>
          <w:bCs/>
          <w:b/>
        </w:rPr>
        <w:t xml:space="preserve">Community Health Partnerships:</w:t>
      </w:r>
      <w:r>
        <w:t xml:space="preserve"> </w:t>
      </w:r>
      <w:r>
        <w:t xml:space="preserve">Collaborate with local community health centers (Puskesmas) in Jakarta Utara (North Jakarta) to launch a diabetes screening initiative led by our physicians, targeting the city's 3.1 million diabetic patients.</w:t>
      </w:r>
    </w:p>
    <w:bookmarkEnd w:id="25"/>
    <w:bookmarkStart w:id="26" w:name="vii.-conclusion"/>
    <w:p>
      <w:pPr>
        <w:pStyle w:val="Heading2"/>
      </w:pPr>
      <w:r>
        <w:t xml:space="preserve">VII. Conclusion</w:t>
      </w:r>
    </w:p>
    <w:p>
      <w:pPr>
        <w:pStyle w:val="FirstParagraph"/>
      </w:pPr>
      <w:r>
        <w:t xml:space="preserve">The Q3 Sales Report for Indonesia Jakarta unequivocally demonstrates that investing in physician-led sales strategies delivers measurable competitive advantage within this critical market. The integration of clinical expertise into our commercial model has directly translated to increased market share, stronger clinician relationships, and improved patient outcomes – aligning perfectly with PT Medika Jaya's mission to advance healthcare in Indonesia. As Jakarta continues its urbanization trajectory (projected 12% population growth by 2030), this physician-centric approach is not merely effective – it is essential for sustainable growth. We recommend full budget allocation for the proposed expansion of medical professional roles across all Jakarta districts, with a target of achieving 95% coverage in high-potential hospital networks by Q4 2024.</w:t>
      </w:r>
    </w:p>
    <w:p>
      <w:pPr>
        <w:pStyle w:val="BodyText"/>
      </w:pPr>
      <w:r>
        <w:rPr>
          <w:iCs/>
          <w:i/>
        </w:rPr>
        <w:t xml:space="preserve">Prepared By: Sales &amp; Medical Strategy Division, PT Medika Jaya Indonesia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Sales Report: Medical Professional Performance</dc:title>
  <dc:creator/>
  <dc:language>en</dc:language>
  <cp:keywords/>
  <dcterms:created xsi:type="dcterms:W3CDTF">2026-07-21T13:11:14Z</dcterms:created>
  <dcterms:modified xsi:type="dcterms:W3CDTF">2026-07-21T13:11:14Z</dcterms:modified>
</cp:coreProperties>
</file>

<file path=docProps/custom.xml><?xml version="1.0" encoding="utf-8"?>
<Properties xmlns="http://schemas.openxmlformats.org/officeDocument/2006/custom-properties" xmlns:vt="http://schemas.openxmlformats.org/officeDocument/2006/docPropsVTypes"/>
</file>