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Tehran,</w:t>
      </w:r>
      <w:r>
        <w:t xml:space="preserve"> </w:t>
      </w:r>
      <w:r>
        <w:t xml:space="preserve">Iran</w:t>
      </w:r>
      <w:r>
        <w:t xml:space="preserve"> </w:t>
      </w:r>
      <w:r>
        <w:t xml:space="preserve">Market</w:t>
      </w:r>
      <w:r>
        <w:t xml:space="preserve"> </w:t>
      </w:r>
      <w:r>
        <w:t xml:space="preserve">Analysis</w:t>
      </w:r>
    </w:p>
    <w:bookmarkStart w:id="27" w:name="X2e34ce19b6d2cbc65acace89e0a94ebd6b81d63"/>
    <w:p>
      <w:pPr>
        <w:pStyle w:val="Heading1"/>
      </w:pPr>
      <w:r>
        <w:t xml:space="preserve">Comprehensive Sales Report: Advanced Physics Solutions in Tehran, Iran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Tehran Scientific Innovations Group</w:t>
      </w:r>
      <w:r>
        <w:br/>
      </w:r>
      <w:r>
        <w:rPr>
          <w:bCs/>
          <w:b/>
        </w:rPr>
        <w:t xml:space="preserve">Prepared By:</w:t>
      </w:r>
      <w:r>
        <w:t xml:space="preserve"> </w:t>
      </w:r>
      <w:r>
        <w:t xml:space="preserve">International Sales Division</w:t>
      </w:r>
    </w:p>
    <w:bookmarkStart w:id="20" w:name="i.-executive-summary"/>
    <w:p>
      <w:pPr>
        <w:pStyle w:val="Heading2"/>
      </w:pPr>
      <w:r>
        <w:t xml:space="preserve">I. Executive Summary</w:t>
      </w:r>
    </w:p>
    <w:p>
      <w:pPr>
        <w:pStyle w:val="FirstParagraph"/>
      </w:pPr>
      <w:r>
        <w:t xml:space="preserve">This Sales Report details the strategic performance of physics-driven scientific services across Iran's premier market—Tehran. The report confirms a 34% year-over-year growth in demand for physicist-led solutions, positioning Tehran as the critical engine for our regional expansion. Our specialized Physicist team has successfully secured contracts with six major research institutions and three industrial manufacturers in Tehran, demonstrating exceptional market penetration. Key opportunities remain in nuclear energy diagnostics, photonics manufacturing, and renewable energy R&amp;D—sectors where Iranian physicists continue to lead global innovation.</w:t>
      </w:r>
    </w:p>
    <w:bookmarkEnd w:id="20"/>
    <w:bookmarkStart w:id="21" w:name="Xcc9d194e105aaf762286b04dc086ce3fc550c8f"/>
    <w:p>
      <w:pPr>
        <w:pStyle w:val="Heading2"/>
      </w:pPr>
      <w:r>
        <w:t xml:space="preserve">II. Market Context: Iran Tehran's Scientific Landscape</w:t>
      </w:r>
    </w:p>
    <w:p>
      <w:pPr>
        <w:pStyle w:val="FirstParagraph"/>
      </w:pPr>
      <w:r>
        <w:t xml:space="preserve">Tehran serves as Iran's undisputed scientific epicenter, housing 68% of the nation's research facilities and hosting over 150,000 active scientists. The city's strategic importance is amplified by its status as the headquarters for Iran’s Atomic Energy Organization (IAEO) and the prestigious University of Tehran Physics Department. Current market dynamics reveal a surge in demand for applied physics services driven by:</w:t>
      </w:r>
    </w:p>
    <w:p>
      <w:pPr>
        <w:numPr>
          <w:ilvl w:val="0"/>
          <w:numId w:val="1001"/>
        </w:numPr>
        <w:pStyle w:val="Compact"/>
      </w:pPr>
      <w:r>
        <w:t xml:space="preserve">National energy diversification initiatives requiring precision instrumentation</w:t>
      </w:r>
    </w:p>
    <w:p>
      <w:pPr>
        <w:numPr>
          <w:ilvl w:val="0"/>
          <w:numId w:val="1001"/>
        </w:numPr>
        <w:pStyle w:val="Compact"/>
      </w:pPr>
      <w:r>
        <w:t xml:space="preserve">Manufacturing sector modernization demanding quantum computing expertise</w:t>
      </w:r>
    </w:p>
    <w:p>
      <w:pPr>
        <w:numPr>
          <w:ilvl w:val="0"/>
          <w:numId w:val="1001"/>
        </w:numPr>
        <w:pStyle w:val="Compact"/>
      </w:pPr>
      <w:r>
        <w:t xml:space="preserve">Government grants prioritizing physics-based R&amp;D in aerospace and medical devices</w:t>
      </w:r>
    </w:p>
    <w:bookmarkEnd w:id="21"/>
    <w:bookmarkStart w:id="22" w:name="Xdcccb6cd3e2a2afd9c17c3bb719aa02e4d43b7b"/>
    <w:p>
      <w:pPr>
        <w:pStyle w:val="Heading2"/>
      </w:pPr>
      <w:r>
        <w:t xml:space="preserve">III. Physicist-Driven Sales Performance (Q3 2023)</w:t>
      </w:r>
    </w:p>
    <w:p>
      <w:pPr>
        <w:pStyle w:val="FirstParagraph"/>
      </w:pPr>
      <w:r>
        <w:t xml:space="preserve">Sales Segment</w:t>
      </w:r>
    </w:p>
    <w:p>
      <w:pPr>
        <w:pStyle w:val="BodyText"/>
      </w:pPr>
      <w:r>
        <w:t xml:space="preserve">Revenue (USD)</w:t>
      </w:r>
    </w:p>
    <w:p>
      <w:pPr>
        <w:pStyle w:val="BodyText"/>
      </w:pPr>
      <w:r>
        <w:t xml:space="preserve">YoY Growth</w:t>
      </w:r>
    </w:p>
    <w:p>
      <w:pPr>
        <w:pStyle w:val="BodyText"/>
      </w:pPr>
      <w:r>
        <w:t xml:space="preserve">Key Clients in Tehran</w:t>
      </w:r>
    </w:p>
    <w:p>
      <w:pPr>
        <w:pStyle w:val="BodyText"/>
      </w:pPr>
      <w:r>
        <w:t xml:space="preserve">Nuclear Energy Diagnostics</w:t>
      </w:r>
    </w:p>
    <w:p>
      <w:pPr>
        <w:pStyle w:val="BodyText"/>
      </w:pPr>
      <w:r>
        <w:t xml:space="preserve">$425,000</w:t>
      </w:r>
    </w:p>
    <w:p>
      <w:pPr>
        <w:pStyle w:val="BodyText"/>
      </w:pPr>
      <w:r>
        <w:t xml:space="preserve">+41%</w:t>
      </w:r>
    </w:p>
    <w:p>
      <w:pPr>
        <w:pStyle w:val="BodyText"/>
      </w:pPr>
      <w:r>
        <w:t xml:space="preserve">IAEO Facilities, Tehran Nuclear Research Center</w:t>
      </w:r>
    </w:p>
    <w:p>
      <w:pPr>
        <w:pStyle w:val="BodyText"/>
      </w:pPr>
      <w:r>
        <w:t xml:space="preserve">Photonics Manufacturing Solutions</w:t>
      </w:r>
    </w:p>
    <w:p>
      <w:pPr>
        <w:pStyle w:val="BodyText"/>
      </w:pPr>
      <w:r>
        <w:t xml:space="preserve">$389,200</w:t>
      </w:r>
    </w:p>
    <w:p>
      <w:pPr>
        <w:pStyle w:val="BodyText"/>
      </w:pPr>
      <w:r>
        <w:t xml:space="preserve">Total Physicist-Driven Revenue</w:t>
      </w:r>
    </w:p>
    <w:p>
      <w:pPr>
        <w:pStyle w:val="BodyText"/>
      </w:pPr>
      <w:r>
        <w:t xml:space="preserve">$915,700</w:t>
      </w:r>
    </w:p>
    <w:p>
      <w:pPr>
        <w:pStyle w:val="BodyText"/>
      </w:pPr>
      <w:r>
        <w:t xml:space="preserve">34% Avg.</w:t>
      </w:r>
    </w:p>
    <w:p>
      <w:pPr>
        <w:pStyle w:val="BodyText"/>
      </w:pPr>
      <w:r>
        <w:t xml:space="preserve">Market Share in Tehran Physics Services</w:t>
      </w:r>
    </w:p>
    <w:p>
      <w:pPr>
        <w:pStyle w:val="BodyText"/>
      </w:pPr>
      <w:r>
        <w:t xml:space="preserve">28.3%</w:t>
      </w:r>
    </w:p>
    <w:p>
      <w:pPr>
        <w:pStyle w:val="BodyText"/>
      </w:pPr>
      <w:r>
        <w:t xml:space="preserve">The exceptional performance stems from our unique Physicist-centric sales model. Unlike competitors using generic technical sales teams, our dedicated physicists—many with PhDs from Sharif University and Amirkabir University—conduct consultations that directly translate complex scientific challenges into revenue-generating solutions. For example:</w:t>
      </w:r>
    </w:p>
    <w:p>
      <w:pPr>
        <w:numPr>
          <w:ilvl w:val="0"/>
          <w:numId w:val="1002"/>
        </w:numPr>
        <w:pStyle w:val="Compact"/>
      </w:pPr>
      <w:r>
        <w:t xml:space="preserve">Our Tehran-based Physicist team secured a $210,000 contract with Saipa Automotive to develop laser-guided precision sensors using quantum optics—reducing production defects by 37%.</w:t>
      </w:r>
    </w:p>
    <w:p>
      <w:pPr>
        <w:numPr>
          <w:ilvl w:val="0"/>
          <w:numId w:val="1002"/>
        </w:numPr>
        <w:pStyle w:val="Compact"/>
      </w:pPr>
      <w:r>
        <w:t xml:space="preserve">A joint venture with Tehran University’s Plasma Physics Lab resulted in a $145,000 annual service agreement for real-time energy monitoring systems.</w:t>
      </w:r>
    </w:p>
    <w:bookmarkEnd w:id="22"/>
    <w:bookmarkStart w:id="23" w:name="X21879141c982a2a6737a8a4e9ac07e4acd5adad"/>
    <w:p>
      <w:pPr>
        <w:pStyle w:val="Heading2"/>
      </w:pPr>
      <w:r>
        <w:t xml:space="preserve">IV. Competitive Analysis: Why Physicists Drive Success in Iran Tehran</w:t>
      </w:r>
    </w:p>
    <w:p>
      <w:pPr>
        <w:pStyle w:val="FirstParagraph"/>
      </w:pPr>
      <w:r>
        <w:t xml:space="preserve">The Iranian market demands technical credibility that only a Physicist can provide. Our sales data reveals critical differentiators:</w:t>
      </w:r>
    </w:p>
    <w:p>
      <w:pPr>
        <w:numPr>
          <w:ilvl w:val="0"/>
          <w:numId w:val="1003"/>
        </w:numPr>
        <w:pStyle w:val="Compact"/>
      </w:pPr>
      <w:r>
        <w:rPr>
          <w:bCs/>
          <w:b/>
        </w:rPr>
        <w:t xml:space="preserve">Credibility Threshold:</w:t>
      </w:r>
      <w:r>
        <w:t xml:space="preserve"> </w:t>
      </w:r>
      <w:r>
        <w:t xml:space="preserve">89% of Tehran-based clients require physicist validation before signing contracts—exceeding the industry average of 62% for non-specialized technical sales.</w:t>
      </w:r>
    </w:p>
    <w:p>
      <w:pPr>
        <w:numPr>
          <w:ilvl w:val="0"/>
          <w:numId w:val="1003"/>
        </w:numPr>
        <w:pStyle w:val="Compact"/>
      </w:pPr>
      <w:r>
        <w:rPr>
          <w:bCs/>
          <w:b/>
        </w:rPr>
        <w:t xml:space="preserve">Solution Depth:</w:t>
      </w:r>
      <w:r>
        <w:t xml:space="preserve"> </w:t>
      </w:r>
      <w:r>
        <w:t xml:space="preserve">Physicists close deals 5.3x faster than general engineers by addressing root causes (e.g., diagnosing magnetic resonance imaging inaccuracies at Shohada Hospital).</w:t>
      </w:r>
    </w:p>
    <w:p>
      <w:pPr>
        <w:numPr>
          <w:ilvl w:val="0"/>
          <w:numId w:val="1003"/>
        </w:numPr>
        <w:pStyle w:val="Compact"/>
      </w:pPr>
      <w:r>
        <w:rPr>
          <w:bCs/>
          <w:b/>
        </w:rPr>
        <w:t xml:space="preserve">Cultural Alignment:</w:t>
      </w:r>
      <w:r>
        <w:t xml:space="preserve"> </w:t>
      </w:r>
      <w:r>
        <w:t xml:space="preserve">Tehran’s scientific community highly values academic credentials; our Physicists’ university affiliations (including Shahid Beheshti and Tarbiat Modares) build instant trust.</w:t>
      </w:r>
    </w:p>
    <w:bookmarkEnd w:id="23"/>
    <w:bookmarkStart w:id="24" w:name="v.-challenges-in-iran-tehran-market"/>
    <w:p>
      <w:pPr>
        <w:pStyle w:val="Heading2"/>
      </w:pPr>
      <w:r>
        <w:t xml:space="preserve">V. Challenges in Iran Tehran Market</w:t>
      </w:r>
    </w:p>
    <w:p>
      <w:pPr>
        <w:pStyle w:val="FirstParagraph"/>
      </w:pPr>
      <w:r>
        <w:t xml:space="preserve">Despite growth, three challenges require strategic mitigation:</w:t>
      </w:r>
    </w:p>
    <w:p>
      <w:pPr>
        <w:numPr>
          <w:ilvl w:val="0"/>
          <w:numId w:val="1004"/>
        </w:numPr>
        <w:pStyle w:val="Compact"/>
      </w:pPr>
      <w:r>
        <w:rPr>
          <w:bCs/>
          <w:b/>
        </w:rPr>
        <w:t xml:space="preserve">Regulatory Complexity:</w:t>
      </w:r>
      <w:r>
        <w:t xml:space="preserve"> </w:t>
      </w:r>
      <w:r>
        <w:t xml:space="preserve">Export restrictions on advanced instrumentation require dedicated physicist liaisons to navigate Iran’s Ministry of Science regulations (e.g., 18-month delays for laser technology imports).</w:t>
      </w:r>
    </w:p>
    <w:p>
      <w:pPr>
        <w:numPr>
          <w:ilvl w:val="0"/>
          <w:numId w:val="1004"/>
        </w:numPr>
        <w:pStyle w:val="Compact"/>
      </w:pPr>
      <w:r>
        <w:rPr>
          <w:bCs/>
          <w:b/>
        </w:rPr>
        <w:t xml:space="preserve">Talent Competition:</w:t>
      </w:r>
      <w:r>
        <w:t xml:space="preserve"> </w:t>
      </w:r>
      <w:r>
        <w:t xml:space="preserve">Top physicists are courted by government R&amp;D programs; we’ve implemented retention bonuses increasing team stability by 27%.</w:t>
      </w:r>
    </w:p>
    <w:p>
      <w:pPr>
        <w:numPr>
          <w:ilvl w:val="0"/>
          <w:numId w:val="1004"/>
        </w:numPr>
        <w:pStyle w:val="Compact"/>
      </w:pPr>
      <w:r>
        <w:rPr>
          <w:bCs/>
          <w:b/>
        </w:rPr>
        <w:t xml:space="preserve">Currency Volatility:</w:t>
      </w:r>
      <w:r>
        <w:t xml:space="preserve"> </w:t>
      </w:r>
      <w:r>
        <w:t xml:space="preserve">20% annual depreciation of Iranian rial complicates pricing—solved via dollar-denominated contracts for Tehran-based projects.</w:t>
      </w:r>
    </w:p>
    <w:bookmarkEnd w:id="24"/>
    <w:bookmarkStart w:id="25" w:name="Xee54fcc2e03639ffbd9a19607d91a488e1e04d0"/>
    <w:p>
      <w:pPr>
        <w:pStyle w:val="Heading2"/>
      </w:pPr>
      <w:r>
        <w:t xml:space="preserve">VI. Strategic Recommendations for Tehran Market Expansion</w:t>
      </w:r>
    </w:p>
    <w:p>
      <w:pPr>
        <w:pStyle w:val="FirstParagraph"/>
      </w:pPr>
      <w:r>
        <w:t xml:space="preserve">To capitalize on Iran’s physics-driven market growth, we propose:</w:t>
      </w:r>
    </w:p>
    <w:p>
      <w:pPr>
        <w:numPr>
          <w:ilvl w:val="0"/>
          <w:numId w:val="1005"/>
        </w:numPr>
        <w:pStyle w:val="Compact"/>
      </w:pPr>
      <w:r>
        <w:rPr>
          <w:bCs/>
          <w:b/>
        </w:rPr>
        <w:t xml:space="preserve">Launch "Physicist Advisory Council":</w:t>
      </w:r>
      <w:r>
        <w:t xml:space="preserve"> </w:t>
      </w:r>
      <w:r>
        <w:t xml:space="preserve">Partner with Tehran University to establish a permanent physicist committee reviewing client challenges—expected to increase deal pipeline by 40%.</w:t>
      </w:r>
    </w:p>
    <w:p>
      <w:pPr>
        <w:numPr>
          <w:ilvl w:val="0"/>
          <w:numId w:val="1005"/>
        </w:numPr>
        <w:pStyle w:val="Compact"/>
      </w:pPr>
      <w:r>
        <w:rPr>
          <w:bCs/>
          <w:b/>
        </w:rPr>
        <w:t xml:space="preserve">Tap into Energy Sector:</w:t>
      </w:r>
      <w:r>
        <w:t xml:space="preserve"> </w:t>
      </w:r>
      <w:r>
        <w:t xml:space="preserve">Target Iran’s $3.2B annual investment in renewable energy for physicist-led solar cell efficiency optimization (current market gap: 68%).</w:t>
      </w:r>
    </w:p>
    <w:p>
      <w:pPr>
        <w:numPr>
          <w:ilvl w:val="0"/>
          <w:numId w:val="1005"/>
        </w:numPr>
        <w:pStyle w:val="Compact"/>
      </w:pPr>
      <w:r>
        <w:rPr>
          <w:bCs/>
          <w:b/>
        </w:rPr>
        <w:t xml:space="preserve">Develop Localized Training:</w:t>
      </w:r>
      <w:r>
        <w:t xml:space="preserve"> </w:t>
      </w:r>
      <w:r>
        <w:t xml:space="preserve">Create Tehran-specific certification programs with Amirkabir University to build a talent pipeline—reducing recruitment costs by 30%.</w:t>
      </w:r>
    </w:p>
    <w:p>
      <w:pPr>
        <w:numPr>
          <w:ilvl w:val="0"/>
          <w:numId w:val="1005"/>
        </w:numPr>
        <w:pStyle w:val="Compact"/>
      </w:pPr>
      <w:r>
        <w:rPr>
          <w:bCs/>
          <w:b/>
        </w:rPr>
        <w:t xml:space="preserve">Leverage Government Initiatives:</w:t>
      </w:r>
      <w:r>
        <w:t xml:space="preserve"> </w:t>
      </w:r>
      <w:r>
        <w:t xml:space="preserve">Align with Iran’s "National Science Vision 2040" through physicist-led workshops at Tehran’s International Science Festival.</w:t>
      </w:r>
    </w:p>
    <w:bookmarkEnd w:id="25"/>
    <w:bookmarkStart w:id="26" w:name="X18275176124cedcd6c66d27632aed2069bf0061"/>
    <w:p>
      <w:pPr>
        <w:pStyle w:val="Heading2"/>
      </w:pPr>
      <w:r>
        <w:t xml:space="preserve">VII. Conclusion: The Physicist Imperative in Iran Tehran</w:t>
      </w:r>
    </w:p>
    <w:p>
      <w:pPr>
        <w:pStyle w:val="FirstParagraph"/>
      </w:pPr>
      <w:r>
        <w:t xml:space="preserve">This Sales Report unequivocally confirms that a dedicated Physicist presence isn't merely advantageous—it is the fundamental requirement for market success in Tehran. The city’s scientific ecosystem demands solutions engineered by physicists, not just sold by salespeople. Our 34% growth rate demonstrates that when technical expertise drives commercial strategy, Iranian markets respond with exceptional loyalty and scalability.</w:t>
      </w:r>
    </w:p>
    <w:p>
      <w:pPr>
        <w:pStyle w:val="BodyText"/>
      </w:pPr>
      <w:r>
        <w:t xml:space="preserve">As Iran accelerates its technological sovereignty initiatives, the demand for physicist-led services in Tehran will grow exponentially. We recommend immediate investment in expanding our Physicist team from 12 to 25 members by Q1 2024—ensuring we capture at least 35% market share in Tehran’s physics services sector within two years. The data is clear: In Iran Tehran, the Physicist isn't just a sales tool—they are the primary revenue engine.</w:t>
      </w:r>
    </w:p>
    <w:p>
      <w:pPr>
        <w:pStyle w:val="BodyText"/>
      </w:pPr>
      <w:r>
        <w:rPr>
          <w:bCs/>
          <w:b/>
        </w:rPr>
        <w:t xml:space="preserve">Prepared By:</w:t>
      </w:r>
      <w:r>
        <w:t xml:space="preserve"> </w:t>
      </w:r>
      <w:r>
        <w:t xml:space="preserve">International Sales Strategy Division</w:t>
      </w:r>
      <w:r>
        <w:br/>
      </w:r>
      <w:r>
        <w:rPr>
          <w:bCs/>
          <w:b/>
        </w:rPr>
        <w:t xml:space="preserve">Endorsement:</w:t>
      </w:r>
      <w:r>
        <w:t xml:space="preserve"> </w:t>
      </w:r>
      <w:r>
        <w:t xml:space="preserve">Dr. Reza Kianpour, Head of Tehran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Tehran, Iran Market Analysis</dc:title>
  <dc:creator/>
  <dc:language>en</dc:language>
  <cp:keywords/>
  <dcterms:created xsi:type="dcterms:W3CDTF">2026-07-14T01:45:59Z</dcterms:created>
  <dcterms:modified xsi:type="dcterms:W3CDTF">2026-07-14T01:45:59Z</dcterms:modified>
</cp:coreProperties>
</file>

<file path=docProps/custom.xml><?xml version="1.0" encoding="utf-8"?>
<Properties xmlns="http://schemas.openxmlformats.org/officeDocument/2006/custom-properties" xmlns:vt="http://schemas.openxmlformats.org/officeDocument/2006/docPropsVTypes"/>
</file>