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Physicist</w:t>
      </w:r>
      <w:r>
        <w:t xml:space="preserve"> </w:t>
      </w:r>
      <w:r>
        <w:t xml:space="preserve">Sales</w:t>
      </w:r>
      <w:r>
        <w:t xml:space="preserve"> </w:t>
      </w:r>
      <w:r>
        <w:t xml:space="preserve">Report:</w:t>
      </w:r>
      <w:r>
        <w:t xml:space="preserve"> </w:t>
      </w:r>
      <w:r>
        <w:t xml:space="preserve">Japan</w:t>
      </w:r>
      <w:r>
        <w:t xml:space="preserve"> </w:t>
      </w:r>
      <w:r>
        <w:t xml:space="preserve">Tokyo</w:t>
      </w:r>
      <w:r>
        <w:t xml:space="preserve"> </w:t>
      </w:r>
      <w:r>
        <w:t xml:space="preserve">Market</w:t>
      </w:r>
      <w:r>
        <w:t xml:space="preserve"> </w:t>
      </w:r>
      <w:r>
        <w:t xml:space="preserve">Analysis</w:t>
      </w:r>
      <w:r>
        <w:t xml:space="preserve"> </w:t>
      </w:r>
      <w:r>
        <w:t xml:space="preserve">&amp;</w:t>
      </w:r>
      <w:r>
        <w:t xml:space="preserve"> </w:t>
      </w:r>
      <w:r>
        <w:t xml:space="preserve">Strategy</w:t>
      </w:r>
    </w:p>
    <w:bookmarkStart w:id="27" w:name="X8d7a39b3507bde942ff7fd56191b67ea5237ce5"/>
    <w:p>
      <w:pPr>
        <w:pStyle w:val="Heading1"/>
      </w:pPr>
      <w:r>
        <w:t xml:space="preserve">Sales Report: Strategic Advancement of Precision Physics Solutions in Japan Tokyo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Sales Leadership, Quantum Dynamics Technologies</w:t>
      </w:r>
      <w:r>
        <w:br/>
      </w:r>
      <w:r>
        <w:rPr>
          <w:bCs/>
          <w:b/>
        </w:rPr>
        <w:t xml:space="preserve">Report Focus:</w:t>
      </w:r>
      <w:r>
        <w:t xml:space="preserve"> </w:t>
      </w:r>
      <w:r>
        <w:t xml:space="preserve">Sales Performance and Strategic Opportunities for Physics-Specific Solutions in Tokyo, Japan</w:t>
      </w:r>
    </w:p>
    <w:bookmarkStart w:id="20" w:name="i.-executive-summary"/>
    <w:p>
      <w:pPr>
        <w:pStyle w:val="Heading2"/>
      </w:pPr>
      <w:r>
        <w:t xml:space="preserve">I. Executive Summary</w:t>
      </w:r>
    </w:p>
    <w:p>
      <w:pPr>
        <w:pStyle w:val="FirstParagraph"/>
      </w:pPr>
      <w:r>
        <w:t xml:space="preserve">This report details the strategic performance of Quantum Dynamics Technologies (QDT) within Tokyo's specialized physicist community during Q3 2023. The Japan Tokyo market demonstrated exceptional growth potential, with a 37% YoY increase in demand for precision measurement equipment and data analysis solutions tailored to experimental physicists. This surge was directly attributed to heightened government investment in fundamental physics research under Japan's "Science Innovation 2030" initiative, alongside the critical needs of Tokyo-based institutions like RIKEN, The University of Tokyo, and KEK (High Energy Accelerator Research Organization). Our specialized</w:t>
      </w:r>
      <w:r>
        <w:t xml:space="preserve"> </w:t>
      </w:r>
      <w:r>
        <w:rPr>
          <w:iCs/>
          <w:i/>
        </w:rPr>
        <w:t xml:space="preserve">Physicist</w:t>
      </w:r>
      <w:r>
        <w:t xml:space="preserve">-centric product suite achieved a 42% market penetration rate among target academic and industrial labs in metropolitan Tokyo, exceeding initial projections by 15%. Key success drivers included hyper-localized technical support and compliance with Japan's stringent metrology standards.</w:t>
      </w:r>
    </w:p>
    <w:bookmarkEnd w:id="20"/>
    <w:bookmarkStart w:id="21" w:name="X3c62590b6db3893d09132963de9ef7aa6b2b06c"/>
    <w:p>
      <w:pPr>
        <w:pStyle w:val="Heading2"/>
      </w:pPr>
      <w:r>
        <w:t xml:space="preserve">II. Market Analysis: The Tokyo Physicist Ecosystem</w:t>
      </w:r>
    </w:p>
    <w:p>
      <w:pPr>
        <w:pStyle w:val="FirstParagraph"/>
      </w:pPr>
      <w:r>
        <w:t xml:space="preserve">The Tokyo metropolitan area serves as the undisputed epicenter of cutting-edge physics research in Japan, housing over 85% of the nation’s major laboratories and attracting approximately 4,000 active physicists. This concentration creates a unique market dynamic where</w:t>
      </w:r>
      <w:r>
        <w:t xml:space="preserve"> </w:t>
      </w:r>
      <w:r>
        <w:rPr>
          <w:iCs/>
          <w:i/>
        </w:rPr>
        <w:t xml:space="preserve">Physicist</w:t>
      </w:r>
      <w:r>
        <w:t xml:space="preserve"> </w:t>
      </w:r>
      <w:r>
        <w:t xml:space="preserve">decision-makers prioritize instrument reliability (92% of surveyed labs cite this as their top factor), seamless integration with existing Japanese research frameworks (e.g., JSPS grant requirements), and on-site technical expertise. Recent policy shifts, including the Ministry of Education’s 20% funding boost for quantum technologies in Tokyo, have accelerated procurement cycles. Crucially, our analysis reveals that Tokyo-based physicists exhibit a higher willingness-to-pay premium (up to 28%) for solutions offering certified Japanese language documentation and guaranteed response times under 48 hours—a standard not met by many global competitors.</w:t>
      </w:r>
    </w:p>
    <w:bookmarkEnd w:id="21"/>
    <w:bookmarkStart w:id="22" w:name="X354897572786fabdb93ffd90b1c821db53e331a"/>
    <w:p>
      <w:pPr>
        <w:pStyle w:val="Heading2"/>
      </w:pPr>
      <w:r>
        <w:t xml:space="preserve">III. Sales Performance Highlights: Japan Tokyo Focus</w:t>
      </w:r>
    </w:p>
    <w:p>
      <w:pPr>
        <w:pStyle w:val="FirstParagraph"/>
      </w:pPr>
      <w:r>
        <w:rPr>
          <w:bCs/>
          <w:b/>
        </w:rPr>
        <w:t xml:space="preserve">Product Segment Breakdown (Q3, Tokyo):</w:t>
      </w:r>
    </w:p>
    <w:p>
      <w:pPr>
        <w:numPr>
          <w:ilvl w:val="0"/>
          <w:numId w:val="1001"/>
        </w:numPr>
        <w:pStyle w:val="Compact"/>
      </w:pPr>
      <w:r>
        <w:rPr>
          <w:bCs/>
          <w:b/>
        </w:rPr>
        <w:t xml:space="preserve">Quantum Sensing Platforms:</w:t>
      </w:r>
      <w:r>
        <w:t xml:space="preserve"> </w:t>
      </w:r>
      <w:r>
        <w:t xml:space="preserve">68% of total sales ($1.8M). Dominated by demand from RIKEN’s quantum materials division for cryogenic SQUID magnetometers. Key differentiator: Customized Japanese-language calibration protocols approved by the National Metrology Institute (NMI).</w:t>
      </w:r>
    </w:p>
    <w:p>
      <w:pPr>
        <w:numPr>
          <w:ilvl w:val="0"/>
          <w:numId w:val="1001"/>
        </w:numPr>
        <w:pStyle w:val="Compact"/>
      </w:pPr>
      <w:r>
        <w:rPr>
          <w:bCs/>
          <w:b/>
        </w:rPr>
        <w:t xml:space="preserve">High-Resolution Data Analytics Suite (HDAS):</w:t>
      </w:r>
      <w:r>
        <w:t xml:space="preserve"> </w:t>
      </w:r>
      <w:r>
        <w:t xml:space="preserve">22% of sales ($580K). Adopted by 14/15 University of Tokyo particle physics groups for real-time analysis of LHC data. Critical factor: Integration with Japan’s "Kagami" research cloud infrastructure.</w:t>
      </w:r>
    </w:p>
    <w:p>
      <w:pPr>
        <w:numPr>
          <w:ilvl w:val="0"/>
          <w:numId w:val="1001"/>
        </w:numPr>
        <w:pStyle w:val="Compact"/>
      </w:pPr>
      <w:r>
        <w:rPr>
          <w:bCs/>
          <w:b/>
        </w:rPr>
        <w:t xml:space="preserve">Custom Cryogenic Systems:</w:t>
      </w:r>
      <w:r>
        <w:t xml:space="preserve"> </w:t>
      </w:r>
      <w:r>
        <w:t xml:space="preserve">10% of sales ($265K). Contract secured with KEK for their new neutrino experiment (T2K-Next), featuring on-site Japanese engineers during installation—a requirement from KEK’s procurement policy.</w:t>
      </w:r>
    </w:p>
    <w:p>
      <w:pPr>
        <w:pStyle w:val="FirstParagraph"/>
      </w:pPr>
      <w:r>
        <w:rPr>
          <w:bCs/>
          <w:b/>
        </w:rPr>
        <w:t xml:space="preserve">Key Sales Metrics: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Indicator</w:t>
            </w:r>
          </w:p>
        </w:tc>
        <w:tc>
          <w:tcPr/>
          <w:p>
            <w:pPr>
              <w:pStyle w:val="Compact"/>
              <w:jc w:val="left"/>
            </w:pPr>
            <w:r>
              <w:t xml:space="preserve">Q3 2023 (Tokyo)</w:t>
            </w:r>
          </w:p>
        </w:tc>
        <w:tc>
          <w:tcPr/>
          <w:p>
            <w:pPr>
              <w:pStyle w:val="Compact"/>
              <w:jc w:val="left"/>
            </w:pPr>
            <w:r>
              <w:t xml:space="preserve">% YoY Change</w:t>
            </w:r>
          </w:p>
        </w:tc>
      </w:tr>
      <w:tr>
        <w:tc>
          <w:tcPr/>
          <w:p>
            <w:pPr>
              <w:pStyle w:val="Compact"/>
              <w:jc w:val="left"/>
            </w:pPr>
            <w:r>
              <w:t xml:space="preserve">Total Revenue</w:t>
            </w:r>
          </w:p>
        </w:tc>
        <w:tc>
          <w:tcPr/>
          <w:p>
            <w:pPr>
              <w:pStyle w:val="Compact"/>
              <w:jc w:val="left"/>
            </w:pPr>
            <w:r>
              <w:t xml:space="preserve">$2,645,000</w:t>
            </w:r>
          </w:p>
        </w:tc>
        <w:tc>
          <w:tcPr/>
          <w:p>
            <w:pPr>
              <w:pStyle w:val="Compact"/>
              <w:jc w:val="left"/>
            </w:pPr>
            <w:r>
              <w:t xml:space="preserve">+37.1%</w:t>
            </w:r>
          </w:p>
        </w:tc>
      </w:tr>
      <w:tr>
        <w:tc>
          <w:tcPr/>
          <w:p>
            <w:pPr>
              <w:pStyle w:val="Compact"/>
              <w:jc w:val="left"/>
            </w:pPr>
            <w:r>
              <w:t xml:space="preserve">Physicist-Targeted Solutions Share</w:t>
            </w:r>
          </w:p>
        </w:tc>
        <w:tc>
          <w:tcPr/>
          <w:p>
            <w:pPr>
              <w:pStyle w:val="Compact"/>
              <w:jc w:val="left"/>
            </w:pPr>
            <w:r>
              <w:t xml:space="preserve">92% of Portfolio</w:t>
            </w:r>
          </w:p>
        </w:tc>
        <w:tc>
          <w:tcPr/>
          <w:p>
            <w:pPr>
              <w:pStyle w:val="Compact"/>
              <w:jc w:val="left"/>
            </w:pPr>
            <w:r>
              <w:t xml:space="preserve">+21.5%</w:t>
            </w:r>
          </w:p>
        </w:tc>
      </w:tr>
      <w:tr>
        <w:tc>
          <w:tcPr/>
          <w:p>
            <w:pPr>
              <w:pStyle w:val="Compact"/>
              <w:jc w:val="left"/>
            </w:pPr>
            <w:r>
              <w:t xml:space="preserve">New Lab Acquisitions</w:t>
            </w:r>
          </w:p>
        </w:tc>
        <w:tc>
          <w:tcPr/>
          <w:p>
            <w:pPr>
              <w:pStyle w:val="Compact"/>
              <w:jc w:val="left"/>
            </w:pPr>
            <w:r>
              <w:t xml:space="preserve">17 (Tokyo-based)</w:t>
            </w:r>
          </w:p>
        </w:tc>
        <w:tc>
          <w:tcPr/>
          <w:p>
            <w:pPr>
              <w:pStyle w:val="Compact"/>
              <w:jc w:val="left"/>
            </w:pPr>
            <w:r>
              <w:t xml:space="preserve">+48.3%</w:t>
            </w:r>
          </w:p>
        </w:tc>
      </w:tr>
      <w:tr>
        <w:tc>
          <w:tcPr/>
          <w:p>
            <w:pPr>
              <w:pStyle w:val="Compact"/>
              <w:jc w:val="left"/>
            </w:pPr>
            <w:r>
              <w:t xml:space="preserve">Customer Retention Rate</w:t>
            </w:r>
          </w:p>
        </w:tc>
        <w:tc>
          <w:tcPr/>
          <w:p>
            <w:pPr>
              <w:pStyle w:val="Compact"/>
            </w:pPr>
          </w:p>
        </w:tc>
        <w:tc>
          <w:tcPr/>
          <w:p>
            <w:pPr>
              <w:pStyle w:val="Compact"/>
            </w:pPr>
          </w:p>
        </w:tc>
      </w:tr>
      <w:tr>
        <w:tc>
          <w:tcPr/>
          <w:p>
            <w:pPr>
              <w:pStyle w:val="Compact"/>
              <w:jc w:val="left"/>
            </w:pPr>
            <w:r>
              <w:t xml:space="preserve">Among Tokyo Academic Labs</w:t>
            </w:r>
          </w:p>
        </w:tc>
        <w:tc>
          <w:tcPr/>
          <w:p>
            <w:pPr>
              <w:pStyle w:val="Compact"/>
              <w:jc w:val="left"/>
            </w:pPr>
            <w:r>
              <w:t xml:space="preserve">96%</w:t>
            </w:r>
          </w:p>
        </w:tc>
        <w:tc>
          <w:tcPr/>
          <w:p>
            <w:pPr>
              <w:pStyle w:val="Compact"/>
              <w:jc w:val="left"/>
            </w:pPr>
            <w:r>
              <w:t xml:space="preserve">+12% YoY</w:t>
            </w:r>
          </w:p>
        </w:tc>
      </w:tr>
    </w:tbl>
    <w:bookmarkEnd w:id="22"/>
    <w:bookmarkStart w:id="23" w:name="Xc17303ad827c3ac1123e58ae6977ae27a422d52"/>
    <w:p>
      <w:pPr>
        <w:pStyle w:val="Heading2"/>
      </w:pPr>
      <w:r>
        <w:t xml:space="preserve">IV. Strategic Differentiation: Why Physicists in Japan Tokyo Choose QDT</w:t>
      </w:r>
    </w:p>
    <w:p>
      <w:pPr>
        <w:pStyle w:val="FirstParagraph"/>
      </w:pPr>
      <w:r>
        <w:t xml:space="preserve">The core of our success lies in understanding the unique operational landscape of a</w:t>
      </w:r>
      <w:r>
        <w:t xml:space="preserve"> </w:t>
      </w:r>
      <w:r>
        <w:rPr>
          <w:iCs/>
          <w:i/>
        </w:rPr>
        <w:t xml:space="preserve">Physicist</w:t>
      </w:r>
      <w:r>
        <w:t xml:space="preserve"> </w:t>
      </w:r>
      <w:r>
        <w:t xml:space="preserve">working within Tokyo’s research ecosystem. Unlike generic vendors, QDT:</w:t>
      </w:r>
    </w:p>
    <w:p>
      <w:pPr>
        <w:numPr>
          <w:ilvl w:val="0"/>
          <w:numId w:val="1002"/>
        </w:numPr>
        <w:pStyle w:val="Compact"/>
      </w:pPr>
      <w:r>
        <w:rPr>
          <w:bCs/>
          <w:b/>
        </w:rPr>
        <w:t xml:space="preserve">Embeds Japanese Technical Culture:</w:t>
      </w:r>
      <w:r>
        <w:t xml:space="preserve"> </w:t>
      </w:r>
      <w:r>
        <w:t xml:space="preserve">All field engineers are certified in Japan’s industrial standards (JIS), and our support portal offers 24/7 multilingual assistance with priority for Japanese-speaking physicists.</w:t>
      </w:r>
    </w:p>
    <w:p>
      <w:pPr>
        <w:numPr>
          <w:ilvl w:val="0"/>
          <w:numId w:val="1002"/>
        </w:numPr>
        <w:pStyle w:val="Compact"/>
      </w:pPr>
      <w:r>
        <w:rPr>
          <w:bCs/>
          <w:b/>
        </w:rPr>
        <w:t xml:space="preserve">Solves Tokyo-Specific Pain Points:</w:t>
      </w:r>
      <w:r>
        <w:t xml:space="preserve"> </w:t>
      </w:r>
      <w:r>
        <w:t xml:space="preserve">Developed a proprietary "Nakano Protocol" to minimize instrument downtime during Tokyo's frequent seismic activity—a critical concern for precision labs near the epicenter of the 2023 Noto earthquake.</w:t>
      </w:r>
    </w:p>
    <w:p>
      <w:pPr>
        <w:numPr>
          <w:ilvl w:val="0"/>
          <w:numId w:val="1002"/>
        </w:numPr>
        <w:pStyle w:val="Compact"/>
      </w:pPr>
      <w:r>
        <w:rPr>
          <w:bCs/>
          <w:b/>
        </w:rPr>
        <w:t xml:space="preserve">Aligns with National Research Goals:</w:t>
      </w:r>
      <w:r>
        <w:t xml:space="preserve"> </w:t>
      </w:r>
      <w:r>
        <w:t xml:space="preserve">Our HDAS platform automatically generates compliance reports for JSPS (Japan Society for the Promotion of Science) grant submissions, saving physicists an average of 18 hours per application cycle.</w:t>
      </w:r>
    </w:p>
    <w:bookmarkEnd w:id="23"/>
    <w:bookmarkStart w:id="24" w:name="v.-competitive-landscape-in-japan-tokyo"/>
    <w:p>
      <w:pPr>
        <w:pStyle w:val="Heading2"/>
      </w:pPr>
      <w:r>
        <w:t xml:space="preserve">V. Competitive Landscape in Japan Tokyo</w:t>
      </w:r>
    </w:p>
    <w:p>
      <w:pPr>
        <w:pStyle w:val="FirstParagraph"/>
      </w:pPr>
      <w:r>
        <w:t xml:space="preserve">While global competitors like Bruker and Thermo Fisher maintain strong brand presence, they lack our depth of physicist-specific engagement. In Tokyo, competitors typically fail at two critical points: (1) Providing technical documentation solely in English (violating JSPS requirements), and (2) Offering only standard 5-day onsite support—whereas QDT’s "Tokyo Response Guarantee" ensures same-day technician dispatch for all major equipment failures within the metropolitan area. A recent NIST survey confirmed that 79% of Tokyo physicists rank "local technical partnership" as more important than price when selecting physics instruments.</w:t>
      </w:r>
    </w:p>
    <w:bookmarkEnd w:id="24"/>
    <w:bookmarkStart w:id="25" w:name="X670f43255efa3be7f979a986de260d24d6ff193"/>
    <w:p>
      <w:pPr>
        <w:pStyle w:val="Heading2"/>
      </w:pPr>
      <w:r>
        <w:t xml:space="preserve">VI. Future Strategy: Capitalizing on Japan Tokyo's Physics Momentum</w:t>
      </w:r>
    </w:p>
    <w:p>
      <w:pPr>
        <w:pStyle w:val="FirstParagraph"/>
      </w:pPr>
      <w:r>
        <w:t xml:space="preserve">Based on our Q3 success, we recommend three immediate actions for sustained growth in the Japan Tokyo market:</w:t>
      </w:r>
    </w:p>
    <w:p>
      <w:pPr>
        <w:numPr>
          <w:ilvl w:val="0"/>
          <w:numId w:val="1003"/>
        </w:numPr>
        <w:pStyle w:val="Compact"/>
      </w:pPr>
      <w:r>
        <w:rPr>
          <w:bCs/>
          <w:b/>
        </w:rPr>
        <w:t xml:space="preserve">Establish a Dedicated Tokyo Physicist Advisory Council:</w:t>
      </w:r>
      <w:r>
        <w:t xml:space="preserve"> </w:t>
      </w:r>
      <w:r>
        <w:t xml:space="preserve">Recruit 5 senior physicists from RIKEN/KEK to co-develop next-gen products. This builds trust and ensures solutions solve actual workflow challenges.</w:t>
      </w:r>
    </w:p>
    <w:p>
      <w:pPr>
        <w:numPr>
          <w:ilvl w:val="0"/>
          <w:numId w:val="1003"/>
        </w:numPr>
        <w:pStyle w:val="Compact"/>
      </w:pPr>
      <w:r>
        <w:rPr>
          <w:bCs/>
          <w:b/>
        </w:rPr>
        <w:t xml:space="preserve">Leverage the "Science Innovation 2030" Fund:</w:t>
      </w:r>
      <w:r>
        <w:t xml:space="preserve"> </w:t>
      </w:r>
      <w:r>
        <w:t xml:space="preserve">Partner with Japan’s Ministry of Education to sponsor a Tokyo-based Quantum Metrology Workshop, positioning QDT as a government-aligned solution provider.</w:t>
      </w:r>
    </w:p>
    <w:p>
      <w:pPr>
        <w:numPr>
          <w:ilvl w:val="0"/>
          <w:numId w:val="1003"/>
        </w:numPr>
        <w:pStyle w:val="Compact"/>
      </w:pPr>
      <w:r>
        <w:rPr>
          <w:bCs/>
          <w:b/>
        </w:rPr>
        <w:t xml:space="preserve">Deploy AI-Driven Predictive Maintenance:</w:t>
      </w:r>
      <w:r>
        <w:t xml:space="preserve"> </w:t>
      </w:r>
      <w:r>
        <w:t xml:space="preserve">Pilot an IoT-enabled sensor network for client instruments in Tokyo labs, predicting failures 72+ hours in advance—addressing the #1 concern (downtime) reported by 83% of Tokyo physicists.</w:t>
      </w:r>
    </w:p>
    <w:bookmarkEnd w:id="25"/>
    <w:bookmarkStart w:id="26" w:name="vii.-conclusion"/>
    <w:p>
      <w:pPr>
        <w:pStyle w:val="Heading2"/>
      </w:pPr>
      <w:r>
        <w:t xml:space="preserve">VII. Conclusion</w:t>
      </w:r>
    </w:p>
    <w:p>
      <w:pPr>
        <w:pStyle w:val="FirstParagraph"/>
      </w:pPr>
      <w:r>
        <w:t xml:space="preserve">The Japan Tokyo market represents a high-value, growth-driven segment where our sales strategy focused exclusively on the needs of the physicist has proven highly effective. By embedding ourselves within Tokyo’s research culture—through Japanese-language support, seismic-optimized technology, and grant-compliant solutions—we have not only captured significant market share but also established QDT as an indispensable partner for physicists advancing Japan’s scientific frontiers. The 37% revenue growth in Tokyo during Q3 underscores a clear pattern: when sales teams deeply understand the physicist's operational reality within Japan’s unique ecosystem, exceptional results follow. We project continued dominance with a 50%+ market share target for physicist-specific solutions in Tokyo by Q1 2024.</w:t>
      </w:r>
    </w:p>
    <w:p>
      <w:pPr>
        <w:pStyle w:val="BodyText"/>
      </w:pPr>
      <w:r>
        <w:rPr>
          <w:bCs/>
          <w:b/>
        </w:rPr>
        <w:t xml:space="preserve">Prepared By:</w:t>
      </w:r>
      <w:r>
        <w:t xml:space="preserve"> </w:t>
      </w:r>
      <w:r>
        <w:t xml:space="preserve">Global Sales Strategy Division, Quantum Dynamics Technologies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Physicist Sales Report: Japan Tokyo Market Analysis &amp; Strategy</dc:title>
  <dc:creator/>
  <dc:language>en</dc:language>
  <cp:keywords/>
  <dcterms:created xsi:type="dcterms:W3CDTF">2026-07-21T13:04:02Z</dcterms:created>
  <dcterms:modified xsi:type="dcterms:W3CDTF">2026-07-21T13:04:02Z</dcterms:modified>
</cp:coreProperties>
</file>

<file path=docProps/custom.xml><?xml version="1.0" encoding="utf-8"?>
<Properties xmlns="http://schemas.openxmlformats.org/officeDocument/2006/custom-properties" xmlns:vt="http://schemas.openxmlformats.org/officeDocument/2006/docPropsVTypes"/>
</file>