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Myanmar</w:t>
      </w:r>
      <w:r>
        <w:t xml:space="preserve"> </w:t>
      </w:r>
      <w:r>
        <w:t xml:space="preserve">-</w:t>
      </w:r>
      <w:r>
        <w:t xml:space="preserve"> </w:t>
      </w:r>
      <w:r>
        <w:t xml:space="preserve">Yangon</w:t>
      </w:r>
      <w:r>
        <w:t xml:space="preserve"> </w:t>
      </w:r>
      <w:r>
        <w:t xml:space="preserve">Branch</w:t>
      </w:r>
    </w:p>
    <w:bookmarkStart w:id="27" w:name="X49d3a90f9aea254b9dfcd311873fdb94fda4ac1"/>
    <w:p>
      <w:pPr>
        <w:pStyle w:val="Heading1"/>
      </w:pPr>
      <w:r>
        <w:t xml:space="preserve">Sales Report: Physicist Solutions Myanmar - Yangon Branch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Physicist Solutions Global</w:t>
      </w:r>
      <w:r>
        <w:br/>
      </w:r>
      <w:r>
        <w:rPr>
          <w:bCs/>
          <w:b/>
        </w:rPr>
        <w:t xml:space="preserve">Location:</w:t>
      </w:r>
      <w:r>
        <w:t xml:space="preserve"> </w:t>
      </w:r>
      <w:r>
        <w:t xml:space="preserve">Yangon, Myanmar</w:t>
      </w:r>
    </w:p>
    <w:bookmarkStart w:id="20" w:name="executive-summary"/>
    <w:p>
      <w:pPr>
        <w:pStyle w:val="Heading2"/>
      </w:pPr>
      <w:r>
        <w:t xml:space="preserve">Executive Summary</w:t>
      </w:r>
    </w:p>
    <w:p>
      <w:pPr>
        <w:pStyle w:val="FirstParagraph"/>
      </w:pPr>
      <w:r>
        <w:t xml:space="preserve">The Yangon branch of Physicist Solutions Myanmar has achieved a remarkable 18.7% year-over-year sales growth during Q3 2023, reaching USD $1.42 million in total revenue. This performance significantly outpaces the regional average and positions us as the leading physics-based technology provider across Southeast Asia's most dynamic market. Our strategic focus on precision measurement instruments and renewable energy analytics has resonated powerfully with Yangon's expanding industrial ecosystem, directly supporting Myanmar's national digital transformation goals under the "Digital Myanmar 2030" initiative.</w:t>
      </w:r>
    </w:p>
    <w:bookmarkEnd w:id="20"/>
    <w:bookmarkStart w:id="21"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(USD)</w:t>
      </w:r>
    </w:p>
    <w:p>
      <w:pPr>
        <w:pStyle w:val="BodyText"/>
      </w:pPr>
      <w:r>
        <w:t xml:space="preserve">% of Total Revenue</w:t>
      </w:r>
    </w:p>
    <w:p>
      <w:pPr>
        <w:pStyle w:val="BodyText"/>
      </w:pPr>
      <w:r>
        <w:t xml:space="preserve">YoY Growth</w:t>
      </w:r>
    </w:p>
    <w:p>
      <w:pPr>
        <w:pStyle w:val="BodyText"/>
      </w:pPr>
      <w:r>
        <w:t xml:space="preserve">Precision Lab Equipment</w:t>
      </w:r>
    </w:p>
    <w:p>
      <w:pPr>
        <w:pStyle w:val="BodyText"/>
      </w:pPr>
      <w:r>
        <w:t xml:space="preserve">$587,000</w:t>
      </w:r>
    </w:p>
    <w:p>
      <w:pPr>
        <w:pStyle w:val="BodyText"/>
      </w:pPr>
      <w:r>
        <w:t xml:space="preserve">41.3%</w:t>
      </w:r>
    </w:p>
    <w:p>
      <w:pPr>
        <w:pStyle w:val="BodyText"/>
      </w:pPr>
      <w:r>
        <w:t xml:space="preserve">+22.6%</w:t>
      </w:r>
    </w:p>
    <w:p>
      <w:pPr>
        <w:pStyle w:val="BodyText"/>
      </w:pPr>
      <w:r>
        <w:t xml:space="preserve">Renewable Energy Analytics Software</w:t>
      </w:r>
    </w:p>
    <w:p>
      <w:pPr>
        <w:pStyle w:val="BodyText"/>
      </w:pPr>
      <w:r>
        <w:t xml:space="preserve">Revenue (USD)</w:t>
      </w:r>
    </w:p>
    <w:p>
      <w:pPr>
        <w:pStyle w:val="BodyText"/>
      </w:pPr>
      <w:r>
        <w:t xml:space="preserve">% of Total Revenue</w:t>
      </w:r>
    </w:p>
    <w:p>
      <w:pPr>
        <w:pStyle w:val="BodyText"/>
      </w:pPr>
      <w:r>
        <w:t xml:space="preserve">YoY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Industrial Clients (Manufacturing, Textiles)</w:t>
            </w:r>
          </w:p>
        </w:tc>
        <w:tc>
          <w:tcPr/>
          <w:p>
            <w:pPr>
              <w:pStyle w:val="Compact"/>
              <w:jc w:val="left"/>
            </w:pPr>
            <w:r>
              <w:t xml:space="preserve">$641,000</w:t>
            </w:r>
          </w:p>
        </w:tc>
        <w:tc>
          <w:tcPr/>
          <w:p>
            <w:pPr>
              <w:pStyle w:val="Compact"/>
              <w:jc w:val="left"/>
            </w:pPr>
            <w:r>
              <w:t xml:space="preserve">45.1%</w:t>
            </w:r>
          </w:p>
        </w:tc>
        <w:tc>
          <w:tcPr/>
          <w:p>
            <w:pPr>
              <w:pStyle w:val="Compact"/>
              <w:jc w:val="left"/>
            </w:pPr>
            <w:r>
              <w:t xml:space="preserve">+28.3%</w:t>
            </w:r>
          </w:p>
        </w:tc>
      </w:tr>
      <w:tr>
        <w:tc>
          <w:tcPr/>
          <w:p>
            <w:pPr>
              <w:pStyle w:val="Compact"/>
              <w:jc w:val="left"/>
            </w:pPr>
            <w:r>
              <w:t xml:space="preserve">Educational Institutions (Universities, Research Labs)</w:t>
            </w:r>
          </w:p>
        </w:tc>
        <w:tc>
          <w:tcPr/>
          <w:p>
            <w:pPr>
              <w:pStyle w:val="Compact"/>
              <w:jc w:val="left"/>
            </w:pPr>
            <w:r>
              <w:t xml:space="preserve">$437,500</w:t>
            </w:r>
          </w:p>
        </w:tc>
        <w:tc>
          <w:tcPr/>
          <w:p>
            <w:pPr>
              <w:pStyle w:val="Compact"/>
              <w:jc w:val="left"/>
            </w:pPr>
            <w:r>
              <w:t xml:space="preserve">30.8%</w:t>
            </w:r>
          </w:p>
        </w:tc>
        <w:tc>
          <w:tcPr/>
          <w:p>
            <w:pPr>
              <w:pStyle w:val="Compact"/>
              <w:jc w:val="left"/>
            </w:pPr>
            <w:r>
              <w:t xml:space="preserve">+19.7%</w:t>
            </w:r>
          </w:p>
        </w:tc>
      </w:tr>
      <w:tr>
        <w:tc>
          <w:tcPr/>
          <w:p>
            <w:pPr>
              <w:pStyle w:val="Compact"/>
              <w:jc w:val="left"/>
            </w:pPr>
            <w:r>
              <w:t xml:space="preserve">Government &amp; Utilities Projects</w:t>
            </w:r>
          </w:p>
        </w:tc>
        <w:tc>
          <w:tcPr/>
          <w:p>
            <w:pPr>
              <w:pStyle w:val="Compact"/>
              <w:jc w:val="left"/>
            </w:pPr>
            <w:r>
              <w:t xml:space="preserve">$341,500</w:t>
            </w:r>
          </w:p>
        </w:tc>
        <w:tc>
          <w:tcPr/>
          <w:p>
            <w:pPr>
              <w:pStyle w:val="Compact"/>
              <w:jc w:val="left"/>
            </w:pPr>
            <w:r>
              <w:t xml:space="preserve">24.1%</w:t>
            </w:r>
          </w:p>
        </w:tc>
        <w:tc>
          <w:tcPr/>
          <w:p>
            <w:pPr>
              <w:pStyle w:val="Compact"/>
              <w:jc w:val="left"/>
            </w:pPr>
            <w:r>
              <w:t xml:space="preserve">+12.4%</w:t>
            </w:r>
          </w:p>
        </w:tc>
      </w:tr>
    </w:tbl>
    <w:bookmarkEnd w:id="21"/>
    <w:bookmarkStart w:id="22" w:name="Xb6287b008986d94af2395735509af9e0c7c7eac"/>
    <w:p>
      <w:pPr>
        <w:pStyle w:val="Heading2"/>
      </w:pPr>
      <w:r>
        <w:t xml:space="preserve">Yangon Market Analysis: Why Physicist Solutions is Thriving</w:t>
      </w:r>
    </w:p>
    <w:p>
      <w:pPr>
        <w:pStyle w:val="FirstParagraph"/>
      </w:pPr>
      <w:r>
        <w:t xml:space="preserve">The Yangon market presents unique opportunities for physics-driven solutions due to Myanmar's rapid industrialization and strategic government investments in science infrastructure. With Yangon accounting for 37% of Myanmar's GDP, our branch has strategically aligned with the Ministry of Science and Technology's "Science for National Development" program. Key growth drivers include:</w:t>
      </w:r>
    </w:p>
    <w:p>
      <w:pPr>
        <w:numPr>
          <w:ilvl w:val="0"/>
          <w:numId w:val="1001"/>
        </w:numPr>
        <w:pStyle w:val="Compact"/>
      </w:pPr>
      <w:r>
        <w:rPr>
          <w:bCs/>
          <w:b/>
        </w:rPr>
        <w:t xml:space="preserve">Industrial Modernization Push:</w:t>
      </w:r>
      <w:r>
        <w:t xml:space="preserve"> </w:t>
      </w:r>
      <w:r>
        <w:t xml:space="preserve">Textile mills (accounting for 42% of Yangon's manufacturing output) require precision measurement systems to meet international quality standards. Our Physicist SensorNet™ line saw 37% YoY growth among these clients.</w:t>
      </w:r>
    </w:p>
    <w:p>
      <w:pPr>
        <w:numPr>
          <w:ilvl w:val="0"/>
          <w:numId w:val="1001"/>
        </w:numPr>
        <w:pStyle w:val="Compact"/>
      </w:pPr>
      <w:r>
        <w:rPr>
          <w:bCs/>
          <w:b/>
        </w:rPr>
        <w:t xml:space="preserve">Academic Expansion:</w:t>
      </w:r>
      <w:r>
        <w:t xml:space="preserve"> </w:t>
      </w:r>
      <w:r>
        <w:t xml:space="preserve">The University of Yangon's new Center for Applied Physics has become our largest single client, securing a $250K contract for quantum computing training modules.</w:t>
      </w:r>
    </w:p>
    <w:p>
      <w:pPr>
        <w:numPr>
          <w:ilvl w:val="0"/>
          <w:numId w:val="1001"/>
        </w:numPr>
        <w:pStyle w:val="Compact"/>
      </w:pPr>
      <w:r>
        <w:rPr>
          <w:bCs/>
          <w:b/>
        </w:rPr>
        <w:t xml:space="preserve">Renewable Energy Boom:</w:t>
      </w:r>
      <w:r>
        <w:t xml:space="preserve"> </w:t>
      </w:r>
      <w:r>
        <w:t xml:space="preserve">Myanmar's solar energy targets (50% clean power by 2030) created explosive demand for our SolarSite™ analytics software, driving 184% growth in government utility contracts.</w:t>
      </w:r>
    </w:p>
    <w:bookmarkEnd w:id="22"/>
    <w:bookmarkStart w:id="23" w:name="Xf316442962b0406a21966a148ecda80dc69ed41"/>
    <w:p>
      <w:pPr>
        <w:pStyle w:val="Heading2"/>
      </w:pPr>
      <w:r>
        <w:t xml:space="preserve">Strategic Initiatives Driving Success in Yangon</w:t>
      </w:r>
    </w:p>
    <w:p>
      <w:pPr>
        <w:pStyle w:val="FirstParagraph"/>
      </w:pPr>
      <w:r>
        <w:rPr>
          <w:bCs/>
          <w:b/>
        </w:rPr>
        <w:t xml:space="preserve">Localized Partnership Network:</w:t>
      </w:r>
      <w:r>
        <w:t xml:space="preserve"> </w:t>
      </w:r>
      <w:r>
        <w:t xml:space="preserve">We've established 14 strategic partnerships with Yangon-based engineering firms (e.g., Myanmar Industrial Solutions and Techno-Gen), enabling rapid deployment across the city. This reduced our average sales cycle from 90 to 45 days.</w:t>
      </w:r>
    </w:p>
    <w:p>
      <w:pPr>
        <w:pStyle w:val="BodyText"/>
      </w:pPr>
      <w:r>
        <w:rPr>
          <w:bCs/>
          <w:b/>
        </w:rPr>
        <w:t xml:space="preserve">Cultural Intelligence Integration:</w:t>
      </w:r>
      <w:r>
        <w:t xml:space="preserve"> </w:t>
      </w:r>
      <w:r>
        <w:t xml:space="preserve">Our Yangon team—72% local Burmese staff with physics degrees from Yangon University—understands cultural nuances that drive sales. For example, we redesigned packaging to use Buddhist-inspired motifs (approved by community leaders), improving client trust metrics by 33%.</w:t>
      </w:r>
    </w:p>
    <w:p>
      <w:pPr>
        <w:pStyle w:val="BodyText"/>
      </w:pPr>
      <w:r>
        <w:rPr>
          <w:bCs/>
          <w:b/>
        </w:rPr>
        <w:t xml:space="preserve">Government Alignment:</w:t>
      </w:r>
      <w:r>
        <w:t xml:space="preserve"> </w:t>
      </w:r>
      <w:r>
        <w:t xml:space="preserve">We secured a formal MOU with the Yangon City Development Committee to provide free physics-based infrastructure diagnostics for public projects, generating $185K in potential future contracts and enhancing our corporate image.</w:t>
      </w:r>
    </w:p>
    <w:bookmarkEnd w:id="23"/>
    <w:bookmarkStart w:id="24" w:name="challenges-and-mitigation-strategies"/>
    <w:p>
      <w:pPr>
        <w:pStyle w:val="Heading2"/>
      </w:pPr>
      <w:r>
        <w:t xml:space="preserve">Challenges and Mitigation Strategies</w:t>
      </w:r>
    </w:p>
    <w:p>
      <w:pPr>
        <w:pStyle w:val="FirstParagraph"/>
      </w:pPr>
      <w:r>
        <w:rPr>
          <w:bCs/>
          <w:b/>
        </w:rPr>
        <w:t xml:space="preserve">Infrastructure Constraints:</w:t>
      </w:r>
      <w:r>
        <w:t xml:space="preserve"> </w:t>
      </w:r>
      <w:r>
        <w:t xml:space="preserve">Yangon's power instability affects equipment testing. Solution: We deployed portable solar-powered test units (developed at our Yangon R&amp;D hub) that reduced site failure rates by 67%.</w:t>
      </w:r>
    </w:p>
    <w:p>
      <w:pPr>
        <w:pStyle w:val="BodyText"/>
      </w:pPr>
      <w:r>
        <w:rPr>
          <w:bCs/>
          <w:b/>
        </w:rPr>
        <w:t xml:space="preserve">Regulatory Navigation:</w:t>
      </w:r>
      <w:r>
        <w:t xml:space="preserve"> </w:t>
      </w:r>
      <w:r>
        <w:t xml:space="preserve">Complex import procedures for scientific equipment. Solution: Partnered with Yangon Chamber of Commerce to create a "Physics Tech Fast-Track" certification process, cutting customs clearance from 3 weeks to 72 hours.</w:t>
      </w:r>
    </w:p>
    <w:bookmarkEnd w:id="24"/>
    <w:bookmarkStart w:id="25" w:name="Xd9fe21d9b99ab9171f648de395aaa7b9b175eaf"/>
    <w:p>
      <w:pPr>
        <w:pStyle w:val="Heading2"/>
      </w:pPr>
      <w:r>
        <w:t xml:space="preserve">Future Outlook: Expanding Physicist's Yangon Footprint</w:t>
      </w:r>
    </w:p>
    <w:p>
      <w:pPr>
        <w:pStyle w:val="FirstParagraph"/>
      </w:pPr>
      <w:r>
        <w:t xml:space="preserve">Our Q4 2023 targets include:</w:t>
      </w:r>
    </w:p>
    <w:p>
      <w:pPr>
        <w:numPr>
          <w:ilvl w:val="0"/>
          <w:numId w:val="1002"/>
        </w:numPr>
        <w:pStyle w:val="Compact"/>
      </w:pPr>
      <w:r>
        <w:rPr>
          <w:bCs/>
          <w:b/>
        </w:rPr>
        <w:t xml:space="preserve">Market Share Goal:</w:t>
      </w:r>
      <w:r>
        <w:t xml:space="preserve"> </w:t>
      </w:r>
      <w:r>
        <w:t xml:space="preserve">Capture 35% of Myanmar's physics instrumentation market (from current 28%) through aggressive university partnerships.</w:t>
      </w:r>
    </w:p>
    <w:p>
      <w:pPr>
        <w:numPr>
          <w:ilvl w:val="0"/>
          <w:numId w:val="1002"/>
        </w:numPr>
        <w:pStyle w:val="Compact"/>
      </w:pPr>
      <w:r>
        <w:rPr>
          <w:bCs/>
          <w:b/>
        </w:rPr>
        <w:t xml:space="preserve">New Product Launch:</w:t>
      </w:r>
      <w:r>
        <w:t xml:space="preserve"> </w:t>
      </w:r>
      <w:r>
        <w:t xml:space="preserve">"Yangon Energy Monitor" software (localized for monsoon climate data) launching November 1st, targeting the $3.2M government grid modernization budget.</w:t>
      </w:r>
    </w:p>
    <w:p>
      <w:pPr>
        <w:numPr>
          <w:ilvl w:val="0"/>
          <w:numId w:val="1002"/>
        </w:numPr>
        <w:pStyle w:val="Compact"/>
      </w:pPr>
      <w:r>
        <w:rPr>
          <w:bCs/>
          <w:b/>
        </w:rPr>
        <w:t xml:space="preserve">Talent Development:</w:t>
      </w:r>
      <w:r>
        <w:t xml:space="preserve"> </w:t>
      </w:r>
      <w:r>
        <w:t xml:space="preserve">Partnering with Yangon Institute of Technology to establish a Physics Innovation Scholarship Program, training 50 Burmese technicians annually.</w:t>
      </w:r>
    </w:p>
    <w:bookmarkEnd w:id="25"/>
    <w:bookmarkStart w:id="26" w:name="X0f2d9bc6dda62683af8c4e1f8bceea167bb6588"/>
    <w:p>
      <w:pPr>
        <w:pStyle w:val="Heading2"/>
      </w:pPr>
      <w:r>
        <w:t xml:space="preserve">Conclusion: Physics as Myanmar's Growth Catalyst</w:t>
      </w:r>
    </w:p>
    <w:p>
      <w:pPr>
        <w:pStyle w:val="FirstParagraph"/>
      </w:pPr>
      <w:r>
        <w:t xml:space="preserve">The success of Physicist Solutions Myanmar in Yangon proves that scientific excellence directly fuels economic development. By embedding physics-based technology into Yangon's industrial fabric—from textile quality control to solar grid analytics—we've moved beyond being a vendor to becoming an indispensable partner in Myanmar's growth journey. Our Q3 results demonstrate that when physics meets local context, sustainable revenue generation becomes inevitable.</w:t>
      </w:r>
    </w:p>
    <w:p>
      <w:pPr>
        <w:pStyle w:val="BodyText"/>
      </w:pPr>
      <w:r>
        <w:t xml:space="preserve">As the Myanmar government prioritizes STEM education and green technology, Physicist Solutions is uniquely positioned to lead this transformation. We project 25% YoY growth for FY2024, with Yangon as the engine driving regional expansion across ASEAN. This isn't just a sales report; it's a blueprint for how physics-powered innovation can build tomorrow's economy—one precise measurement at a time.</w:t>
      </w:r>
    </w:p>
    <w:p>
      <w:pPr>
        <w:pStyle w:val="BodyText"/>
      </w:pPr>
      <w:r>
        <w:rPr>
          <w:bCs/>
          <w:b/>
        </w:rPr>
        <w:t xml:space="preserve">Prepared By:</w:t>
      </w:r>
      <w:r>
        <w:t xml:space="preserve"> </w:t>
      </w:r>
      <w:r>
        <w:t xml:space="preserve">Aung Kyaw, Head of Sales, Physicist Solutions Myanmar</w:t>
      </w:r>
      <w:r>
        <w:br/>
      </w:r>
      <w:r>
        <w:rPr>
          <w:bCs/>
          <w:b/>
        </w:rPr>
        <w:t xml:space="preserve">Contact:</w:t>
      </w:r>
      <w:r>
        <w:t xml:space="preserve"> </w:t>
      </w:r>
      <w:r>
        <w:t xml:space="preserve">yangon.sales@physicistsolutions.com | +95 9 123 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Myanmar - Yangon Branch</dc:title>
  <dc:creator/>
  <dc:language>en</dc:language>
  <cp:keywords/>
  <dcterms:created xsi:type="dcterms:W3CDTF">2025-12-09T19:59:23Z</dcterms:created>
  <dcterms:modified xsi:type="dcterms:W3CDTF">2025-12-09T19:59:23Z</dcterms:modified>
</cp:coreProperties>
</file>

<file path=docProps/custom.xml><?xml version="1.0" encoding="utf-8"?>
<Properties xmlns="http://schemas.openxmlformats.org/officeDocument/2006/custom-properties" xmlns:vt="http://schemas.openxmlformats.org/officeDocument/2006/docPropsVTypes"/>
</file>