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Amsterdam</w:t>
      </w:r>
      <w:r>
        <w:t xml:space="preserve"> </w:t>
      </w:r>
      <w:r>
        <w:t xml:space="preserve">Physics</w:t>
      </w:r>
      <w:r>
        <w:t xml:space="preserve"> </w:t>
      </w:r>
      <w:r>
        <w:t xml:space="preserve">Sales</w:t>
      </w:r>
      <w:r>
        <w:t xml:space="preserve"> </w:t>
      </w:r>
      <w:r>
        <w:t xml:space="preserve">Report:</w:t>
      </w:r>
      <w:r>
        <w:t xml:space="preserve"> </w:t>
      </w:r>
      <w:r>
        <w:t xml:space="preserve">Strategic</w:t>
      </w:r>
      <w:r>
        <w:t xml:space="preserve"> </w:t>
      </w:r>
      <w:r>
        <w:t xml:space="preserve">Market</w:t>
      </w:r>
      <w:r>
        <w:t xml:space="preserve"> </w:t>
      </w:r>
      <w:r>
        <w:t xml:space="preserve">Performance</w:t>
      </w:r>
    </w:p>
    <w:bookmarkStart w:id="27" w:name="X2c8b4638e25b10db3a5c8396c6ab374b0af3bf4"/>
    <w:p>
      <w:pPr>
        <w:pStyle w:val="Heading1"/>
      </w:pPr>
      <w:r>
        <w:t xml:space="preserve">Quarterly Sales Report for Physicist-Driven Solutions in Netherlands Amsterdam</w:t>
      </w:r>
    </w:p>
    <w:p>
      <w:pPr>
        <w:pStyle w:val="FirstParagraph"/>
      </w:pPr>
      <w:r>
        <w:t xml:space="preserve">Prepared for Executive Leadership • Q3 2024 • Confidential</w:t>
      </w:r>
    </w:p>
    <w:bookmarkStart w:id="20" w:name="executive-summary"/>
    <w:p>
      <w:pPr>
        <w:pStyle w:val="Heading2"/>
      </w:pPr>
      <w:r>
        <w:t xml:space="preserve">Executive Summary</w:t>
      </w:r>
    </w:p>
    <w:p>
      <w:pPr>
        <w:pStyle w:val="FirstParagraph"/>
      </w:pPr>
      <w:r>
        <w:t xml:space="preserve">This comprehensive Sales Report details the performance of our physics-specialized sales team operating within the Netherlands Amsterdam ecosystem. The report demonstrates how leveraging a dedicated Physicist-led sales strategy has generated exceptional growth in high-value scientific instrumentation contracts, solidifying our market leadership in Amsterdam's innovation hub. Our team achieved</w:t>
      </w:r>
      <w:r>
        <w:t xml:space="preserve"> </w:t>
      </w:r>
      <w:r>
        <w:rPr>
          <w:bCs/>
          <w:b/>
        </w:rPr>
        <w:t xml:space="preserve">128% of Q3 sales targets</w:t>
      </w:r>
      <w:r>
        <w:t xml:space="preserve">, driven by deep technical expertise that resonates with Amsterdam's world-class research institutions and high-tech enterprises. This success underscores the critical value of embedding physics expertise directly within commercial operations for the Netherlands Amsterdam market.</w:t>
      </w:r>
    </w:p>
    <w:bookmarkEnd w:id="20"/>
    <w:bookmarkStart w:id="21" w:name="market-context-the-amsterdam-advantage"/>
    <w:p>
      <w:pPr>
        <w:pStyle w:val="Heading2"/>
      </w:pPr>
      <w:r>
        <w:t xml:space="preserve">Market Context: The Amsterdam Advantage</w:t>
      </w:r>
    </w:p>
    <w:p>
      <w:pPr>
        <w:pStyle w:val="FirstParagraph"/>
      </w:pPr>
      <w:r>
        <w:t xml:space="preserve">Amsterdam, as the central nexus of scientific advancement in the Netherlands, hosts over 15 major research institutions including AMOLF, FOM Institute, and University of Amsterdam's Physics Department. The Netherlands' national strategy prioritizes quantum technology and sustainable energy solutions – sectors where our Physicist team delivers unparalleled competitive advantage. In this environment, technical sales depth is not merely beneficial; it's the primary differentiator. Our Sales Report confirms that 87% of new enterprise contracts in Q3 were closed after the Physicist consulted directly with client R&amp;D teams, validating our strategic investment in physics-qualified sales professionals within Netherlands Amsterdam.</w:t>
      </w:r>
    </w:p>
    <w:bookmarkEnd w:id="21"/>
    <w:bookmarkStart w:id="22" w:name="physicist-sales-performance-breakdown"/>
    <w:p>
      <w:pPr>
        <w:pStyle w:val="Heading2"/>
      </w:pPr>
      <w:r>
        <w:t xml:space="preserve">Physicist Sales Performance Breakdown</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Key Metric</w:t>
            </w:r>
          </w:p>
        </w:tc>
        <w:tc>
          <w:tcPr/>
          <w:p>
            <w:pPr>
              <w:pStyle w:val="Compact"/>
              <w:jc w:val="left"/>
            </w:pPr>
            <w:r>
              <w:t xml:space="preserve">Q3 Actual</w:t>
            </w:r>
          </w:p>
        </w:tc>
        <w:tc>
          <w:tcPr/>
          <w:p>
            <w:pPr>
              <w:pStyle w:val="Compact"/>
              <w:jc w:val="left"/>
            </w:pPr>
            <w:r>
              <w:t xml:space="preserve">Target</w:t>
            </w:r>
          </w:p>
        </w:tc>
        <w:tc>
          <w:tcPr/>
          <w:p>
            <w:pPr>
              <w:pStyle w:val="Compact"/>
              <w:jc w:val="left"/>
            </w:pPr>
            <w:r>
              <w:t xml:space="preserve">Variance</w:t>
            </w:r>
          </w:p>
        </w:tc>
        <w:tc>
          <w:tcPr/>
          <w:p>
            <w:pPr>
              <w:pStyle w:val="Compact"/>
              <w:jc w:val="left"/>
            </w:pPr>
            <w:r>
              <w:t xml:space="preserve">Physicist Contribution %</w:t>
            </w:r>
          </w:p>
        </w:tc>
      </w:tr>
      <w:tr>
        <w:tc>
          <w:tcPr/>
          <w:p>
            <w:pPr>
              <w:pStyle w:val="Compact"/>
              <w:jc w:val="left"/>
            </w:pPr>
            <w:r>
              <w:t xml:space="preserve">Revenue Generated</w:t>
            </w:r>
          </w:p>
        </w:tc>
        <w:tc>
          <w:tcPr/>
          <w:p>
            <w:pPr>
              <w:pStyle w:val="Compact"/>
              <w:jc w:val="left"/>
            </w:pPr>
            <w:r>
              <w:t xml:space="preserve">€2.48M</w:t>
            </w:r>
          </w:p>
        </w:tc>
        <w:tc>
          <w:tcPr/>
          <w:p>
            <w:pPr>
              <w:pStyle w:val="Compact"/>
              <w:jc w:val="left"/>
            </w:pPr>
            <w:r>
              <w:t xml:space="preserve">€1.93M</w:t>
            </w:r>
          </w:p>
        </w:tc>
        <w:tc>
          <w:tcPr/>
          <w:p>
            <w:pPr>
              <w:pStyle w:val="Compact"/>
              <w:jc w:val="left"/>
            </w:pPr>
            <w:r>
              <w:t xml:space="preserve">+28.5%</w:t>
            </w:r>
          </w:p>
        </w:tc>
        <w:tc>
          <w:tcPr/>
          <w:p>
            <w:pPr>
              <w:pStyle w:val="Compact"/>
              <w:jc w:val="left"/>
            </w:pPr>
            <w:r>
              <w:t xml:space="preserve">76%</w:t>
            </w:r>
          </w:p>
        </w:tc>
      </w:tr>
      <w:tr>
        <w:tc>
          <w:tcPr/>
          <w:p>
            <w:pPr>
              <w:pStyle w:val="Compact"/>
              <w:jc w:val="left"/>
            </w:pPr>
            <w:r>
              <w:t xml:space="preserve">New Client Acquisition</w:t>
            </w:r>
          </w:p>
        </w:tc>
        <w:tc>
          <w:tcPr/>
          <w:p>
            <w:pPr>
              <w:pStyle w:val="Compact"/>
              <w:jc w:val="left"/>
            </w:pPr>
            <w:r>
              <w:t xml:space="preserve">14</w:t>
            </w:r>
          </w:p>
        </w:tc>
        <w:tc>
          <w:tcPr/>
          <w:p>
            <w:pPr>
              <w:pStyle w:val="Compact"/>
              <w:jc w:val="left"/>
            </w:pPr>
            <w:r>
              <w:t xml:space="preserve">9</w:t>
            </w:r>
          </w:p>
        </w:tc>
        <w:tc>
          <w:tcPr/>
          <w:p>
            <w:pPr>
              <w:pStyle w:val="Compact"/>
              <w:jc w:val="left"/>
            </w:pPr>
            <w:r>
              <w:t xml:space="preserve">+55.6%</w:t>
            </w:r>
          </w:p>
        </w:tc>
        <w:tc>
          <w:tcPr/>
          <w:p>
            <w:pPr>
              <w:pStyle w:val="Compact"/>
              <w:jc w:val="left"/>
            </w:pPr>
            <w:r>
              <w:t xml:space="preserve">82%</w:t>
            </w:r>
          </w:p>
        </w:tc>
      </w:tr>
      <w:tr>
        <w:tc>
          <w:tcPr/>
          <w:p>
            <w:pPr>
              <w:pStyle w:val="Compact"/>
              <w:jc w:val="left"/>
            </w:pPr>
            <w:r>
              <w:t xml:space="preserve">Average Deal Size</w:t>
            </w:r>
          </w:p>
        </w:tc>
        <w:tc>
          <w:tcPr/>
          <w:p>
            <w:pPr>
              <w:pStyle w:val="Compact"/>
              <w:jc w:val="left"/>
            </w:pPr>
            <w:r>
              <w:t xml:space="preserve">€178,000</w:t>
            </w:r>
          </w:p>
        </w:tc>
        <w:tc>
          <w:tcPr/>
          <w:p>
            <w:pPr>
              <w:pStyle w:val="Compact"/>
              <w:jc w:val="left"/>
            </w:pPr>
            <w:r>
              <w:t xml:space="preserve">€152,000</w:t>
            </w:r>
          </w:p>
        </w:tc>
        <w:tc>
          <w:tcPr/>
          <w:p>
            <w:pPr>
              <w:pStyle w:val="Compact"/>
              <w:jc w:val="left"/>
            </w:pPr>
            <w:r>
              <w:t xml:space="preserve">+17.1%</w:t>
            </w:r>
          </w:p>
        </w:tc>
        <w:tc>
          <w:tcPr/>
          <w:p>
            <w:pPr>
              <w:pStyle w:val="Compact"/>
              <w:jc w:val="left"/>
            </w:pPr>
            <w:r>
              <w:t xml:space="preserve">93%</w:t>
            </w:r>
          </w:p>
        </w:tc>
      </w:tr>
      <w:tr>
        <w:tc>
          <w:tcPr/>
          <w:p>
            <w:pPr>
              <w:pStyle w:val="Compact"/>
              <w:jc w:val="left"/>
            </w:pPr>
            <w:r>
              <w:t xml:space="preserve">Closed-Loop Time</w:t>
            </w:r>
          </w:p>
        </w:tc>
        <w:tc>
          <w:tcPr/>
          <w:p>
            <w:pPr>
              <w:pStyle w:val="Compact"/>
              <w:jc w:val="left"/>
            </w:pPr>
            <w:r>
              <w:t xml:space="preserve">42 days</w:t>
            </w:r>
          </w:p>
        </w:tc>
        <w:tc>
          <w:tcPr/>
          <w:p>
            <w:pPr>
              <w:pStyle w:val="Compact"/>
              <w:jc w:val="left"/>
            </w:pPr>
            <w:r>
              <w:t xml:space="preserve">58 days</w:t>
            </w:r>
          </w:p>
        </w:tc>
        <w:tc>
          <w:tcPr/>
          <w:p>
            <w:pPr>
              <w:pStyle w:val="Compact"/>
              <w:jc w:val="left"/>
            </w:pPr>
            <w:r>
              <w:t xml:space="preserve">-27.6% faster</w:t>
            </w:r>
          </w:p>
        </w:tc>
        <w:tc>
          <w:tcPr/>
          <w:p>
            <w:pPr>
              <w:pStyle w:val="Compact"/>
              <w:jc w:val="left"/>
            </w:pPr>
            <w:r>
              <w:t xml:space="preserve">69%</w:t>
            </w:r>
          </w:p>
        </w:tc>
      </w:tr>
    </w:tbl>
    <w:p>
      <w:pPr>
        <w:pStyle w:val="BodyText"/>
      </w:pPr>
      <w:r>
        <w:t xml:space="preserve">The data reveals a transformative pattern: where our Physicist sales representatives lead technical discussions, deal velocity accelerates by 27.6% and average contract value increases by 17.1%. This directly impacts the Netherlands Amsterdam market dynamics – clients explicitly seek physicists who understand quantum sensors or cryogenics rather than generic sales personnel.</w:t>
      </w:r>
    </w:p>
    <w:bookmarkEnd w:id="22"/>
    <w:bookmarkStart w:id="23" w:name="X5833635210680b001324d3581e5b156a2366f1f"/>
    <w:p>
      <w:pPr>
        <w:pStyle w:val="Heading2"/>
      </w:pPr>
      <w:r>
        <w:t xml:space="preserve">Case Study: Quantum Metrology Success in Amsterdam</w:t>
      </w:r>
    </w:p>
    <w:p>
      <w:pPr>
        <w:pStyle w:val="FirstParagraph"/>
      </w:pPr>
      <w:r>
        <w:t xml:space="preserve">A pivotal win with the National Institute for Materials Science (NIMS) exemplifies our Physicist-driven approach. While competitors focused on pricing, our lead Physicist sales executive conducted a technical deep-dive into NIMS' quantum sensing requirements, identifying an unmet need in cryogenic measurement stability. By proposing a custom solution co-developed with Amsterdam's AMOLF lab, we secured a €850K contract – 3x larger than the initial RFP scope. This deal wouldn't have materialized without the Physicist's ability to translate technical capabilities into client-specific value propositions within Netherlands Amsterdam's research ecosystem.</w:t>
      </w:r>
    </w:p>
    <w:bookmarkEnd w:id="23"/>
    <w:bookmarkStart w:id="24" w:name="X212d4b5a2d9e9edb4388dd6f694bf15745c43da"/>
    <w:p>
      <w:pPr>
        <w:pStyle w:val="Heading2"/>
      </w:pPr>
      <w:r>
        <w:t xml:space="preserve">Market Intelligence: Amsterdam's Physics Economy</w:t>
      </w:r>
    </w:p>
    <w:p>
      <w:pPr>
        <w:pStyle w:val="FirstParagraph"/>
      </w:pPr>
      <w:r>
        <w:t xml:space="preserve">Amsterdam’s €4.2B physics-focused industry (per TNO 2023 report) is our primary growth vector. Our Sales Report identifies three key trends shaping the Netherlands Amsterdam landscape:</w:t>
      </w:r>
    </w:p>
    <w:p>
      <w:pPr>
        <w:numPr>
          <w:ilvl w:val="0"/>
          <w:numId w:val="1001"/>
        </w:numPr>
        <w:pStyle w:val="Compact"/>
      </w:pPr>
      <w:r>
        <w:rPr>
          <w:bCs/>
          <w:b/>
        </w:rPr>
        <w:t xml:space="preserve">Quantum Leap Demand</w:t>
      </w:r>
      <w:r>
        <w:t xml:space="preserve">: 68% of Amsterdam-based quantum startups require specialized physics expertise in sales interactions (Dutch Quantum Industry Survey, Q2 2024)</w:t>
      </w:r>
    </w:p>
    <w:p>
      <w:pPr>
        <w:numPr>
          <w:ilvl w:val="0"/>
          <w:numId w:val="1001"/>
        </w:numPr>
        <w:pStyle w:val="Compact"/>
      </w:pPr>
      <w:r>
        <w:rPr>
          <w:bCs/>
          <w:b/>
        </w:rPr>
        <w:t xml:space="preserve">Regulatory Complexity</w:t>
      </w:r>
      <w:r>
        <w:t xml:space="preserve">: EU AI Act compliance requires technical depth – Physicists reduced client onboarding time by 35% through direct regulatory consultations</w:t>
      </w:r>
    </w:p>
    <w:p>
      <w:pPr>
        <w:numPr>
          <w:ilvl w:val="0"/>
          <w:numId w:val="1001"/>
        </w:numPr>
        <w:pStyle w:val="Compact"/>
      </w:pPr>
      <w:r>
        <w:rPr>
          <w:bCs/>
          <w:b/>
        </w:rPr>
        <w:t xml:space="preserve">Collaboration Premium</w:t>
      </w:r>
      <w:r>
        <w:t xml:space="preserve">: Clients pay 22% premium for vendors whose sales teams understand collaborative research frameworks (e.g., Dutch Top Sector Agreements)</w:t>
      </w:r>
    </w:p>
    <w:p>
      <w:pPr>
        <w:pStyle w:val="FirstParagraph"/>
      </w:pPr>
      <w:r>
        <w:t xml:space="preserve">These dynamics make the Physicist role non-negotiable for market penetration. Our sales team's physics credentials directly correlate with client trust metrics – Amsterdam clients rate our technical competence 4.7/5 vs. industry average 3.2.</w:t>
      </w:r>
    </w:p>
    <w:bookmarkEnd w:id="24"/>
    <w:bookmarkStart w:id="25" w:name="strategic-recommendations"/>
    <w:p>
      <w:pPr>
        <w:pStyle w:val="Heading2"/>
      </w:pPr>
      <w:r>
        <w:t xml:space="preserve">Strategic Recommendations</w:t>
      </w:r>
    </w:p>
    <w:p>
      <w:pPr>
        <w:pStyle w:val="FirstParagraph"/>
      </w:pPr>
      <w:r>
        <w:t xml:space="preserve">Based on this quarter's Sales Report, we propose three actions to capitalize on Netherlands Amsterdam's physics economy:</w:t>
      </w:r>
    </w:p>
    <w:p>
      <w:pPr>
        <w:numPr>
          <w:ilvl w:val="0"/>
          <w:numId w:val="1002"/>
        </w:numPr>
        <w:pStyle w:val="Compact"/>
      </w:pPr>
      <w:r>
        <w:rPr>
          <w:bCs/>
          <w:b/>
        </w:rPr>
        <w:t xml:space="preserve">Expand Physicist Recruitment in Amsterdam</w:t>
      </w:r>
      <w:r>
        <w:t xml:space="preserve">: Target graduates from University of Amsterdam (Physics Master's program) and TU Delft, with dedicated recruitment pipeline. Projected ROI: €1.8M incremental revenue by Q2 2025.</w:t>
      </w:r>
    </w:p>
    <w:p>
      <w:pPr>
        <w:numPr>
          <w:ilvl w:val="0"/>
          <w:numId w:val="1002"/>
        </w:numPr>
        <w:pStyle w:val="Compact"/>
      </w:pPr>
      <w:r>
        <w:rPr>
          <w:bCs/>
          <w:b/>
        </w:rPr>
        <w:t xml:space="preserve">Develop Physics-Centric Sales Playbook</w:t>
      </w:r>
      <w:r>
        <w:t xml:space="preserve">: Create standardized technical objection-handling frameworks for quantum/sustainable energy markets – expected to reduce sales cycle by 15%.</w:t>
      </w:r>
    </w:p>
    <w:p>
      <w:pPr>
        <w:numPr>
          <w:ilvl w:val="0"/>
          <w:numId w:val="1002"/>
        </w:numPr>
        <w:pStyle w:val="Compact"/>
      </w:pPr>
      <w:r>
        <w:rPr>
          <w:bCs/>
          <w:b/>
        </w:rPr>
        <w:t xml:space="preserve">Amsterdam Innovation Hub Partnership</w:t>
      </w:r>
      <w:r>
        <w:t xml:space="preserve">: Co-host quarterly "Physics Solutions Summits" with AMOLF and Dutch Research Council (NWO), positioning our Physicist team as thought leaders. Anticipated lead generation: 30+ qualified opportunities monthly.</w:t>
      </w:r>
    </w:p>
    <w:bookmarkEnd w:id="25"/>
    <w:bookmarkStart w:id="26" w:name="X6c7d04db8d81c0489075701a158cd9db60e21e5"/>
    <w:p>
      <w:pPr>
        <w:pStyle w:val="Heading2"/>
      </w:pPr>
      <w:r>
        <w:t xml:space="preserve">Conclusion: The Physics Advantage in Amsterdam</w:t>
      </w:r>
    </w:p>
    <w:p>
      <w:pPr>
        <w:pStyle w:val="FirstParagraph"/>
      </w:pPr>
      <w:r>
        <w:t xml:space="preserve">This Sales Report conclusively demonstrates that embedding Physicist expertise within our commercial operations is the strategic imperative for succeeding in Netherlands Amsterdam's sophisticated scientific markets. Our Q3 performance – characterized by record revenue, premium pricing, and accelerated sales cycles – proves that technical credibility directly drives commercial outcomes. As the Netherlands continues its €10B quantum technology initiative (2024-2030), our Physicist-led approach positions us to capture 35%+ of the Amsterdam quantum instrumentation market by 2026.</w:t>
      </w:r>
    </w:p>
    <w:p>
      <w:pPr>
        <w:pStyle w:val="BodyText"/>
      </w:pPr>
      <w:r>
        <w:t xml:space="preserve">For leadership, we recommend institutionalizing this model: All sales teams serving scientific clients in Netherlands Amsterdam must now require physics/STEM qualifications. The data is unequivocal – in the heart of Europe's physics innovation corridor, a Physicist isn't just part of the sales process; they are our most valuable revenue driver. This Sales Report confirms that where we have deployed physicists, we win.</w:t>
      </w:r>
    </w:p>
    <w:p>
      <w:pPr>
        <w:pStyle w:val="BodyText"/>
      </w:pPr>
      <w:r>
        <w:rPr>
          <w:bCs/>
          <w:b/>
        </w:rPr>
        <w:t xml:space="preserve">Report Prepared By:</w:t>
      </w:r>
      <w:r>
        <w:t xml:space="preserve"> </w:t>
      </w:r>
      <w:r>
        <w:t xml:space="preserve">Global Sales Intelligence Unit • Amsterdam Office</w:t>
      </w:r>
    </w:p>
    <w:p>
      <w:pPr>
        <w:pStyle w:val="BodyText"/>
      </w:pPr>
      <w:r>
        <w:rPr>
          <w:bCs/>
          <w:b/>
        </w:rPr>
        <w:t xml:space="preserve">Date:</w:t>
      </w:r>
      <w:r>
        <w:t xml:space="preserve"> </w:t>
      </w:r>
      <w:r>
        <w:t xml:space="preserve">September 15, 2024 • This document constitutes proprietary data under Netherlands Commercial Code §7:301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Amsterdam Physics Sales Report: Strategic Market Performance</dc:title>
  <dc:creator/>
  <dc:language>en</dc:language>
  <cp:keywords/>
  <dcterms:created xsi:type="dcterms:W3CDTF">2026-07-19T19:07:21Z</dcterms:created>
  <dcterms:modified xsi:type="dcterms:W3CDTF">2026-07-19T19:07:21Z</dcterms:modified>
</cp:coreProperties>
</file>

<file path=docProps/custom.xml><?xml version="1.0" encoding="utf-8"?>
<Properties xmlns="http://schemas.openxmlformats.org/officeDocument/2006/custom-properties" xmlns:vt="http://schemas.openxmlformats.org/officeDocument/2006/docPropsVTypes"/>
</file>