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Sales</w:t>
      </w:r>
      <w:r>
        <w:t xml:space="preserve"> </w:t>
      </w:r>
      <w:r>
        <w:t xml:space="preserve">Report:</w:t>
      </w:r>
      <w:r>
        <w:t xml:space="preserve"> </w:t>
      </w:r>
      <w:r>
        <w:t xml:space="preserve">Physics-Driven</w:t>
      </w:r>
      <w:r>
        <w:t xml:space="preserve"> </w:t>
      </w:r>
      <w:r>
        <w:t xml:space="preserve">Market</w:t>
      </w:r>
      <w:r>
        <w:t xml:space="preserve"> </w:t>
      </w:r>
      <w:r>
        <w:t xml:space="preserve">Insights</w:t>
      </w:r>
    </w:p>
    <w:bookmarkStart w:id="27" w:name="Xac82d457e21328db7e952019137e23aab62394a"/>
    <w:p>
      <w:pPr>
        <w:pStyle w:val="Heading1"/>
      </w:pPr>
      <w:r>
        <w:t xml:space="preserve">Comprehensive Sales Report: Physics Expertise Driving Growth in Qatar Doha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Al-Qasim Scientific Solutions</w:t>
      </w:r>
      <w:r>
        <w:br/>
      </w:r>
      <w:r>
        <w:rPr>
          <w:bCs/>
          <w:b/>
        </w:rPr>
        <w:t xml:space="preserve">Report Period:</w:t>
      </w:r>
      <w:r>
        <w:t xml:space="preserve"> </w:t>
      </w:r>
      <w:r>
        <w:t xml:space="preserve">Q3 2023 (July-September)</w:t>
      </w:r>
      <w:r>
        <w:br/>
      </w:r>
      <w:r>
        <w:rPr>
          <w:bCs/>
          <w:b/>
        </w:rPr>
        <w:t xml:space="preserve">Purpose:</w:t>
      </w:r>
      <w:r>
        <w:t xml:space="preserve"> </w:t>
      </w:r>
      <w:r>
        <w:t xml:space="preserve">Analysis of sales performance with focus on physics-driven solutions in Qatar Doha</w:t>
      </w:r>
    </w:p>
    <w:bookmarkStart w:id="20" w:name="i.-executive-summary"/>
    <w:p>
      <w:pPr>
        <w:pStyle w:val="Heading2"/>
      </w:pPr>
      <w:r>
        <w:t xml:space="preserve">I. Executive Summary</w:t>
      </w:r>
    </w:p>
    <w:p>
      <w:pPr>
        <w:pStyle w:val="FirstParagraph"/>
      </w:pPr>
      <w:r>
        <w:t xml:space="preserve">This Sales Report details the exceptional performance of our physics-specialized team in the Qatar Doha market during Q3 2023. As a premier provider of advanced scientific instrumentation and consultancy services, we have achieved a remarkable 37% year-over-year growth in revenue, directly attributable to strategic deployment of our</w:t>
      </w:r>
      <w:r>
        <w:t xml:space="preserve"> </w:t>
      </w:r>
      <w:r>
        <w:rPr>
          <w:iCs/>
          <w:i/>
        </w:rPr>
        <w:t xml:space="preserve">Physicist</w:t>
      </w:r>
      <w:r>
        <w:t xml:space="preserve"> </w:t>
      </w:r>
      <w:r>
        <w:t xml:space="preserve">talent across key sectors. The report confirms that our physics-centric approach has not only met but exceeded all market objectives in Qatar Doha, establishing new benchmarks for technical sales excellence in the region.</w:t>
      </w:r>
    </w:p>
    <w:bookmarkEnd w:id="20"/>
    <w:bookmarkStart w:id="21" w:name="X8c2edc16dfbf1fddb0a899444bc5382e6c1b410"/>
    <w:p>
      <w:pPr>
        <w:pStyle w:val="Heading2"/>
      </w:pPr>
      <w:r>
        <w:t xml:space="preserve">II. Market Context: Physics in Qatar's Strategic Vision</w:t>
      </w:r>
    </w:p>
    <w:p>
      <w:pPr>
        <w:pStyle w:val="FirstParagraph"/>
      </w:pPr>
      <w:r>
        <w:t xml:space="preserve">Qatar Doha's National Vision 2030 places scientific advancement at its core, with significant investment in research infrastructure (e.g., Qatar University, Hamad Bin Khalifa University) and energy innovation. This creates a unique opportunity for physics-driven solutions. Our Sales Report identifies that 68% of enterprise procurement in Doha now prioritizes technical expertise over generic offerings—making the role of the</w:t>
      </w:r>
      <w:r>
        <w:t xml:space="preserve"> </w:t>
      </w:r>
      <w:r>
        <w:rPr>
          <w:iCs/>
          <w:i/>
        </w:rPr>
        <w:t xml:space="preserve">Physicist</w:t>
      </w:r>
      <w:r>
        <w:t xml:space="preserve"> </w:t>
      </w:r>
      <w:r>
        <w:t xml:space="preserve">critical to our sales strategy.</w:t>
      </w:r>
    </w:p>
    <w:bookmarkEnd w:id="21"/>
    <w:bookmarkStart w:id="22" w:name="iii.-sales-performance-highlights"/>
    <w:p>
      <w:pPr>
        <w:pStyle w:val="Heading2"/>
      </w:pPr>
      <w:r>
        <w:t xml:space="preserve">III. Sales Performance Highlights</w:t>
      </w:r>
    </w:p>
    <w:p>
      <w:pPr>
        <w:pStyle w:val="FirstParagraph"/>
      </w:pPr>
      <w:r>
        <w:rPr>
          <w:bCs/>
          <w:b/>
        </w:rPr>
        <w:t xml:space="preserve">Revenue Growth:</w:t>
      </w:r>
      <w:r>
        <w:t xml:space="preserve"> </w:t>
      </w:r>
      <w:r>
        <w:t xml:space="preserve">Total Q3 revenue in Qatar Doha reached $14.8M (up 37% YoY), with physics-based solutions accounting for 89% of this growth.</w:t>
      </w:r>
    </w:p>
    <w:p>
      <w:pPr>
        <w:pStyle w:val="BodyText"/>
      </w:pPr>
      <w:r>
        <w:rPr>
          <w:bCs/>
          <w:b/>
        </w:rPr>
        <w:t xml:space="preserve">Key Product Lines Dominated by Physics Expertise:</w:t>
      </w:r>
    </w:p>
    <w:p>
      <w:pPr>
        <w:numPr>
          <w:ilvl w:val="0"/>
          <w:numId w:val="1001"/>
        </w:numPr>
        <w:pStyle w:val="Compact"/>
      </w:pPr>
      <w:r>
        <w:rPr>
          <w:iCs/>
          <w:i/>
        </w:rPr>
        <w:t xml:space="preserve">Renewable Energy Spectroscopy Systems</w:t>
      </w:r>
      <w:r>
        <w:t xml:space="preserve">: 42% revenue share (31% YoY growth). Our</w:t>
      </w:r>
      <w:r>
        <w:t xml:space="preserve"> </w:t>
      </w:r>
      <w:r>
        <w:rPr>
          <w:iCs/>
          <w:i/>
        </w:rPr>
        <w:t xml:space="preserve">Physicist</w:t>
      </w:r>
      <w:r>
        <w:t xml:space="preserve">-led sales team secured contracts with QatarEnergy and Al Khayyam Solar Park.</w:t>
      </w:r>
    </w:p>
    <w:p>
      <w:pPr>
        <w:numPr>
          <w:ilvl w:val="0"/>
          <w:numId w:val="1001"/>
        </w:numPr>
        <w:pStyle w:val="Compact"/>
      </w:pPr>
      <w:r>
        <w:rPr>
          <w:iCs/>
          <w:i/>
        </w:rPr>
        <w:t xml:space="preserve">Medical Physics Consulting</w:t>
      </w:r>
      <w:r>
        <w:t xml:space="preserve">: 33% revenue share (58% YoY growth). Critical for Qatar's healthcare modernization, including partnerships with Hamad Medical Corporation.</w:t>
      </w:r>
    </w:p>
    <w:p>
      <w:pPr>
        <w:numPr>
          <w:ilvl w:val="0"/>
          <w:numId w:val="1001"/>
        </w:numPr>
        <w:pStyle w:val="Compact"/>
      </w:pPr>
      <w:r>
        <w:rPr>
          <w:iCs/>
          <w:i/>
        </w:rPr>
        <w:t xml:space="preserve">Quantum Computing Simulations</w:t>
      </w:r>
      <w:r>
        <w:t xml:space="preserve">: 24% revenue share (120% YoY growth). First-of-its-kind deployment at Qatar University's Advanced Research Center.</w:t>
      </w:r>
    </w:p>
    <w:p>
      <w:pPr>
        <w:pStyle w:val="FirstParagraph"/>
      </w:pPr>
      <w:r>
        <w:rPr>
          <w:bCs/>
          <w:b/>
        </w:rPr>
        <w:t xml:space="preserve">Customer Acquisition:</w:t>
      </w:r>
      <w:r>
        <w:t xml:space="preserve"> </w:t>
      </w:r>
      <w:r>
        <w:t xml:space="preserve">17 new enterprise clients acquired in Doha, including 5 Ministry-level contracts—unprecedented for our regional sales team. The conversion rate from technical proposal to contract rose to 68% (vs. industry average of 42%), directly linked to our</w:t>
      </w:r>
      <w:r>
        <w:t xml:space="preserve"> </w:t>
      </w:r>
      <w:r>
        <w:rPr>
          <w:iCs/>
          <w:i/>
        </w:rPr>
        <w:t xml:space="preserve">Physicist</w:t>
      </w:r>
      <w:r>
        <w:t xml:space="preserve">'s ability to translate complex solutions into business value.</w:t>
      </w:r>
    </w:p>
    <w:bookmarkEnd w:id="22"/>
    <w:bookmarkStart w:id="23" w:name="X7cbb73a936222542b0302687a92ac67936cfa2c"/>
    <w:p>
      <w:pPr>
        <w:pStyle w:val="Heading2"/>
      </w:pPr>
      <w:r>
        <w:t xml:space="preserve">IV. The Physics Advantage: Why Our Physicist-Driven Model Wins in Qatar Doha</w:t>
      </w:r>
    </w:p>
    <w:p>
      <w:pPr>
        <w:pStyle w:val="FirstParagraph"/>
      </w:pPr>
      <w:r>
        <w:t xml:space="preserve">In the competitive Qatar Doha market, generic sales approaches fail. Our Sales Report demonstrates that embedding</w:t>
      </w:r>
      <w:r>
        <w:t xml:space="preserve"> </w:t>
      </w:r>
      <w:r>
        <w:rPr>
          <w:iCs/>
          <w:i/>
        </w:rPr>
        <w:t xml:space="preserve">Physicists</w:t>
      </w:r>
      <w:r>
        <w:t xml:space="preserve"> </w:t>
      </w:r>
      <w:r>
        <w:t xml:space="preserve">within client-facing teams creates unique value:</w:t>
      </w:r>
    </w:p>
    <w:p>
      <w:pPr>
        <w:numPr>
          <w:ilvl w:val="0"/>
          <w:numId w:val="1002"/>
        </w:numPr>
        <w:pStyle w:val="Compact"/>
      </w:pPr>
      <w:r>
        <w:rPr>
          <w:bCs/>
          <w:b/>
        </w:rPr>
        <w:t xml:space="preserve">Technical Credibility:</w:t>
      </w:r>
      <w:r>
        <w:t xml:space="preserve"> </w:t>
      </w:r>
      <w:r>
        <w:t xml:space="preserve">During negotiations with Qatar Petroleum, our lead Physicist's expertise in subsurface imaging directly validated our seismic analysis technology, securing a $4.2M contract that would have been lost to competitors without physics-level verification.</w:t>
      </w:r>
    </w:p>
    <w:p>
      <w:pPr>
        <w:numPr>
          <w:ilvl w:val="0"/>
          <w:numId w:val="1002"/>
        </w:numPr>
        <w:pStyle w:val="Compact"/>
      </w:pPr>
      <w:r>
        <w:rPr>
          <w:bCs/>
          <w:b/>
        </w:rPr>
        <w:t xml:space="preserve">Problem-Solving Alignment:</w:t>
      </w:r>
      <w:r>
        <w:t xml:space="preserve"> </w:t>
      </w:r>
      <w:r>
        <w:t xml:space="preserve">At the Qatar National Research Fund (QNRF), our Physicist identified unspoken needs in materials science testing, pivoting sales from standard equipment to a bespoke quantum sensor suite—adding $1.8M in upsell revenue.</w:t>
      </w:r>
    </w:p>
    <w:p>
      <w:pPr>
        <w:numPr>
          <w:ilvl w:val="0"/>
          <w:numId w:val="1002"/>
        </w:numPr>
        <w:pStyle w:val="Compact"/>
      </w:pPr>
      <w:r>
        <w:rPr>
          <w:bCs/>
          <w:b/>
        </w:rPr>
        <w:t xml:space="preserve">Cultural Integration:</w:t>
      </w:r>
      <w:r>
        <w:t xml:space="preserve"> </w:t>
      </w:r>
      <w:r>
        <w:t xml:space="preserve">Our Physicist team members completed Doha-specific training on Qatar's energy sector regulations and research priorities, enabling precise solution tailoring that resonated with local stakeholders.</w:t>
      </w:r>
    </w:p>
    <w:bookmarkEnd w:id="23"/>
    <w:bookmarkStart w:id="24" w:name="X161a10d278b425ac74c8b7e443e129203299ba8"/>
    <w:p>
      <w:pPr>
        <w:pStyle w:val="Heading2"/>
      </w:pPr>
      <w:r>
        <w:t xml:space="preserve">V. Challenges Overcome in Qatar Doha Market</w:t>
      </w:r>
    </w:p>
    <w:p>
      <w:pPr>
        <w:pStyle w:val="FirstParagraph"/>
      </w:pPr>
      <w:r>
        <w:rPr>
          <w:iCs/>
          <w:i/>
        </w:rPr>
        <w:t xml:space="preserve">This Sales Report acknowledges obstacles specific to the Doha environment:</w:t>
      </w:r>
    </w:p>
    <w:p>
      <w:pPr>
        <w:pStyle w:val="BodyText"/>
      </w:pPr>
      <w:r>
        <w:rPr>
          <w:bCs/>
          <w:b/>
        </w:rPr>
        <w:t xml:space="preserve">Challenge 1: Technical Misalignment</w:t>
      </w:r>
      <w:r>
        <w:br/>
      </w:r>
      <w:r>
        <w:t xml:space="preserve">Initial client objections centered on "complex physics" being irrelevant to business outcomes. Our Physicist-led solution workshops re-framed technical capabilities as ROI drivers—e.g., demonstrating how spectroscopy systems reduce oil exploration costs by 29%. Result: 0% objection rate in final proposals.</w:t>
      </w:r>
    </w:p>
    <w:p>
      <w:pPr>
        <w:pStyle w:val="BodyText"/>
      </w:pPr>
      <w:r>
        <w:rPr>
          <w:bCs/>
          <w:b/>
        </w:rPr>
        <w:t xml:space="preserve">Challenge 2: Competitive Landscape</w:t>
      </w:r>
      <w:r>
        <w:br/>
      </w:r>
      <w:r>
        <w:t xml:space="preserve">Major global competitors (e.g., Siemens, Thermo Fisher) offered standardized products. Our Physicist team differentiated through custom physics models for Qatar's unique geological conditions, resulting in a 92% win rate against these rivals in Q3.</w:t>
      </w:r>
    </w:p>
    <w:bookmarkEnd w:id="24"/>
    <w:bookmarkStart w:id="25" w:name="X74cc45b3c8e8dd93d8a9d0e3e08bffa9cbb7b0f"/>
    <w:p>
      <w:pPr>
        <w:pStyle w:val="Heading2"/>
      </w:pPr>
      <w:r>
        <w:t xml:space="preserve">VI. Strategic Recommendations for Qatar Doha Expansion</w:t>
      </w:r>
    </w:p>
    <w:p>
      <w:pPr>
        <w:pStyle w:val="FirstParagraph"/>
      </w:pPr>
      <w:r>
        <w:t xml:space="preserve">Based on this Sales Report, we propose three physics-driven initiatives to accelerate growth:</w:t>
      </w:r>
    </w:p>
    <w:p>
      <w:pPr>
        <w:numPr>
          <w:ilvl w:val="0"/>
          <w:numId w:val="1003"/>
        </w:numPr>
        <w:pStyle w:val="Compact"/>
      </w:pPr>
      <w:r>
        <w:rPr>
          <w:bCs/>
          <w:b/>
        </w:rPr>
        <w:t xml:space="preserve">Establish a Doha Physics Innovation Hub:</w:t>
      </w:r>
      <w:r>
        <w:t xml:space="preserve"> </w:t>
      </w:r>
      <w:r>
        <w:t xml:space="preserve">Co-locate our top 5 physicists at QNRF facilities to co-develop solutions with Qatar's research ecosystem. Projected ROI: $8.5M in new contracts within 18 months.</w:t>
      </w:r>
    </w:p>
    <w:p>
      <w:pPr>
        <w:numPr>
          <w:ilvl w:val="0"/>
          <w:numId w:val="1003"/>
        </w:numPr>
        <w:pStyle w:val="Compact"/>
      </w:pPr>
      <w:r>
        <w:rPr>
          <w:bCs/>
          <w:b/>
        </w:rPr>
        <w:t xml:space="preserve">Prioritize Energy Sector Physics Solutions:</w:t>
      </w:r>
      <w:r>
        <w:t xml:space="preserve"> </w:t>
      </w:r>
      <w:r>
        <w:t xml:space="preserve">Target QatarEnergy's carbon capture initiatives with custom atmospheric physics models—addressing a $220M market gap identified in our Q3 analysis.</w:t>
      </w:r>
    </w:p>
    <w:p>
      <w:pPr>
        <w:numPr>
          <w:ilvl w:val="0"/>
          <w:numId w:val="1003"/>
        </w:numPr>
        <w:pStyle w:val="Compact"/>
      </w:pPr>
      <w:r>
        <w:rPr>
          <w:bCs/>
          <w:b/>
        </w:rPr>
        <w:t xml:space="preserve">Physicist Certification Program:</w:t>
      </w:r>
      <w:r>
        <w:t xml:space="preserve"> </w:t>
      </w:r>
      <w:r>
        <w:t xml:space="preserve">Train 15 Doha-based sales staff in applied physics fundamentals. Expected outcome: 25% reduction in sales cycle time through technical confidence.</w:t>
      </w:r>
    </w:p>
    <w:bookmarkEnd w:id="25"/>
    <w:bookmarkStart w:id="26" w:name="X3f514f65c8cb4e4c684cdf8812aeecb832df648"/>
    <w:p>
      <w:pPr>
        <w:pStyle w:val="Heading2"/>
      </w:pPr>
      <w:r>
        <w:t xml:space="preserve">VII. Conclusion: The Quantum Leap of Physics-Driven Sales</w:t>
      </w:r>
    </w:p>
    <w:p>
      <w:pPr>
        <w:pStyle w:val="FirstParagraph"/>
      </w:pPr>
      <w:r>
        <w:t xml:space="preserve">The Qatar Doha market has validated that a</w:t>
      </w:r>
      <w:r>
        <w:t xml:space="preserve"> </w:t>
      </w:r>
      <w:r>
        <w:rPr>
          <w:iCs/>
          <w:i/>
        </w:rPr>
        <w:t xml:space="preserve">Physicist</w:t>
      </w:r>
      <w:r>
        <w:t xml:space="preserve"> </w:t>
      </w:r>
      <w:r>
        <w:t xml:space="preserve">is not merely a technical resource but the ultimate sales catalyst. This Sales Report confirms that our physics-led approach has transformed how we engage with clients—from transactional to transformative. As Qatar accelerates its scientific ambitions under National Vision 2030, our ability to embed physics expertise into every sales interaction positions Al-Qasim Scientific Solutions as the indispensable partner for Doha's innovation ecosystem.</w:t>
      </w:r>
    </w:p>
    <w:p>
      <w:pPr>
        <w:pStyle w:val="BodyText"/>
      </w:pPr>
      <w:r>
        <w:t xml:space="preserve">In closing, the data is unequivocal: In Qatar Doha's competitive landscape, technical depth equals commercial dominance. Our Physicist team hasn't just met sales targets—they've redefined what's possible in scientific solutions sales. We recommend doubling our physics-specialized sales headcount in Doha by Q1 2024 to capture the full $187M quantum physics market opportunity projected for Qatar by 2025.</w:t>
      </w:r>
    </w:p>
    <w:p>
      <w:pPr>
        <w:pStyle w:val="BodyText"/>
      </w:pPr>
      <w:r>
        <w:rPr>
          <w:bCs/>
          <w:b/>
        </w:rPr>
        <w:t xml:space="preserve">Prepared By:</w:t>
      </w:r>
      <w:r>
        <w:t xml:space="preserve"> </w:t>
      </w:r>
      <w:r>
        <w:t xml:space="preserve">Dr. Amina Al-Thani, Head of Sales Strategy</w:t>
      </w:r>
      <w:r>
        <w:br/>
      </w:r>
      <w:r>
        <w:rPr>
          <w:bCs/>
          <w:b/>
        </w:rPr>
        <w:t xml:space="preserve">Physics Expertise Validation:</w:t>
      </w:r>
      <w:r>
        <w:t xml:space="preserve"> </w:t>
      </w:r>
      <w:r>
        <w:t xml:space="preserve">Certified in Quantum Applications (Qatar University, 2021)</w:t>
      </w:r>
      <w:r>
        <w:br/>
      </w:r>
      <w:r>
        <w:rPr>
          <w:bCs/>
          <w:b/>
        </w:rPr>
        <w:t xml:space="preserve">Confidentiality:</w:t>
      </w:r>
      <w:r>
        <w:t xml:space="preserve"> </w:t>
      </w:r>
      <w:r>
        <w:t xml:space="preserve">This report contains proprietary sales data for Al-Qasim Scientific Solutions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Sales Report: Physics-Driven Market Insights</dc:title>
  <dc:creator/>
  <dc:language>en</dc:language>
  <cp:keywords/>
  <dcterms:created xsi:type="dcterms:W3CDTF">2026-04-22T16:56:53Z</dcterms:created>
  <dcterms:modified xsi:type="dcterms:W3CDTF">2026-04-22T16:56:53Z</dcterms:modified>
</cp:coreProperties>
</file>

<file path=docProps/custom.xml><?xml version="1.0" encoding="utf-8"?>
<Properties xmlns="http://schemas.openxmlformats.org/officeDocument/2006/custom-properties" xmlns:vt="http://schemas.openxmlformats.org/officeDocument/2006/docPropsVTypes"/>
</file>