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Physics</w:t>
      </w:r>
      <w:r>
        <w:t xml:space="preserve"> </w:t>
      </w:r>
      <w:r>
        <w:t xml:space="preserve">Innovation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Moscow</w:t>
      </w:r>
    </w:p>
    <w:bookmarkStart w:id="27" w:name="Xa878eed807b5249695cdf4b00955c9e18065002"/>
    <w:p>
      <w:pPr>
        <w:pStyle w:val="Heading1"/>
      </w:pPr>
      <w:r>
        <w:t xml:space="preserve">Comprehensive Sales Report: Physics Innovation Solutions for Russia's Moscow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Eurasian Science &amp; Technology Division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Elena Petrova, Senior Sales Strategist (Quantum Physics Specialist)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physics-driven technological solutions across Russia's Moscow metropolitan area during Q3 2023. As a physicist with 15 years of experience in applied quantum technology commercialization, I present data demonstrating significant growth in demand for precision measurement instruments, advanced materials R&amp;D tools, and AI-integrated physics simulation platforms within Moscow's scientific ecosystem. The Moscow market has emerged as Russia's primary hub for high-value physics applications, with a 28.7% year-over-year sales increase reflecting strategic investments in national science initiatives.</w:t>
      </w:r>
    </w:p>
    <w:bookmarkEnd w:id="20"/>
    <w:bookmarkStart w:id="21" w:name="X5cd5c1dd3199cb699c153b9c45ecfe3d5144de3"/>
    <w:p>
      <w:pPr>
        <w:pStyle w:val="Heading2"/>
      </w:pPr>
      <w:r>
        <w:t xml:space="preserve">II. Market Context: Why Physics Innovation Dominates Moscow</w:t>
      </w:r>
    </w:p>
    <w:p>
      <w:pPr>
        <w:pStyle w:val="FirstParagraph"/>
      </w:pPr>
      <w:r>
        <w:t xml:space="preserve">As a physicist deeply embedded in Russia's scientific community, I've observed that Moscow's unique position as the nation's intellectual capital drives exceptional demand for physics-based solutions. With over 40% of Russia's Federal Science Fund allocations directed toward Moscow institutions—particularly the Russian Academy of Sciences (RAS) and Skolkovo Innovation Center—our target market exhibits unparalleled concentration of high-impact applications. The recent "National Physics Acceleration Program" has further catalyzed procurement for quantum computing infrastructure, particle accelerator research, and space physics instrumentation.</w:t>
      </w:r>
    </w:p>
    <w:p>
      <w:pPr>
        <w:pStyle w:val="BodyText"/>
      </w:pPr>
      <w:r>
        <w:t xml:space="preserve">Crucially, Moscow's scientific community operates under distinct purchasing patterns compared to Western markets. Decentralized funding mechanisms and long-term institutional contracts require specialized sales approaches that align with Russia's R&amp;D governance framework—a perspective only a physicist can effectively navigate.</w:t>
      </w:r>
    </w:p>
    <w:bookmarkEnd w:id="21"/>
    <w:bookmarkStart w:id="22" w:name="X7132471e1ec73acf45db962b5c5cecb12fab14a"/>
    <w:p>
      <w:pPr>
        <w:pStyle w:val="Heading2"/>
      </w:pPr>
      <w:r>
        <w:t xml:space="preserve">III. Q3 2023 Sales Performance: Moscow Market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Volume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Moscow Institutions 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Quantum Sensing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$1.28M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RAS Institute for Theoretical Physics, Moscow State University (MSU)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Advanced Spectroscopy Kits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$795K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Moscow Institute of Physics and Technology (MIPT), Rosatom Facilities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AI-Physics Simulation Platforms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$612K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Skolkovo Foundation, Russian Space Agency (Roscosmos)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$2.687M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+31.9%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Notable achievements include securing a landmark $850K contract with the Moscow Center for Quantum Technologies (MCQT) for next-generation cryogenic sensors—marking our first major institutional partnership in Russia. This deal, negotiated after three months of technical validation by our physicist-led team, exemplifies how specialized expertise drives high-value sales.</w:t>
      </w:r>
    </w:p>
    <w:bookmarkEnd w:id="22"/>
    <w:bookmarkStart w:id="23" w:name="X80278b298d5d65bacc6f73e4fe30b28a9bd74e8"/>
    <w:p>
      <w:pPr>
        <w:pStyle w:val="Heading2"/>
      </w:pPr>
      <w:r>
        <w:t xml:space="preserve">IV. Sales Strategy: The Physicist Advantage</w:t>
      </w:r>
    </w:p>
    <w:p>
      <w:pPr>
        <w:pStyle w:val="FirstParagraph"/>
      </w:pPr>
      <w:r>
        <w:t xml:space="preserve">Unlike conventional technology vendors, our Moscow sales approach leverages deep physics domain knowledge to overcome critical barriers: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Credibility:</w:t>
      </w:r>
      <w:r>
        <w:t xml:space="preserve"> </w:t>
      </w:r>
      <w:r>
        <w:t xml:space="preserve">As a physicist with published research in Applied Surface Physics (Journal of Russian Physics, 2021), I conducted on-site validation demonstrations at MIPT that directly addressed institutional pain points regarding measurement precision in nanomaterials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Navigation:</w:t>
      </w:r>
      <w:r>
        <w:t xml:space="preserve"> </w:t>
      </w:r>
      <w:r>
        <w:t xml:space="preserve">Understanding Russia's "scientific hierarchy" system allowed us to bypass bureaucratic delays by aligning proposals with the RAS Chief Scientist's 2023 priorities—accelerating contract finalization by 57 days.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 Framework:</w:t>
      </w:r>
      <w:r>
        <w:t xml:space="preserve"> </w:t>
      </w:r>
      <w:r>
        <w:t xml:space="preserve">We developed physics-specific configuration modules for Moscow clients (e.g., adapting quantum sensors for Siberian oil-field geophysics applications), differentiating us from off-the-shelf vendors.</w:t>
      </w:r>
    </w:p>
    <w:bookmarkEnd w:id="23"/>
    <w:bookmarkStart w:id="24" w:name="X7311b206f0662be98667b8ce06eea624a19ddcd"/>
    <w:p>
      <w:pPr>
        <w:pStyle w:val="Heading2"/>
      </w:pPr>
      <w:r>
        <w:t xml:space="preserve">V. Market Challenges &amp; Physics-Based Solutions</w:t>
      </w:r>
    </w:p>
    <w:p>
      <w:pPr>
        <w:pStyle w:val="FirstParagraph"/>
      </w:pPr>
      <w:r>
        <w:rPr>
          <w:iCs/>
          <w:i/>
        </w:rPr>
        <w:t xml:space="preserve">Challenge 1: Geopolitical Sanctions Impact</w:t>
      </w:r>
      <w:r>
        <w:br/>
      </w:r>
      <w:r>
        <w:t xml:space="preserve">Western supply chain disruptions initially threatened our sensor components. As a physicist familiar with alternative materials science, we rapidly sourced high-purity quartz from Kazan-based suppliers (validated through our own lab testing), maintaining 98% on-time delivery in Moscow.</w:t>
      </w:r>
    </w:p>
    <w:p>
      <w:pPr>
        <w:pStyle w:val="BodyText"/>
      </w:pPr>
      <w:r>
        <w:rPr>
          <w:iCs/>
          <w:i/>
        </w:rPr>
        <w:t xml:space="preserve">Challenge 2: Institutional Procurement Complexity</w:t>
      </w:r>
      <w:r>
        <w:br/>
      </w:r>
      <w:r>
        <w:t xml:space="preserve">The Russian "Institutional Innovation Fund" requires physics-specific technical justifications. Our sales documentation now includes detailed quantum error-rate calculations—a format only a physicist could author—that passed RAS audit on first submission.</w:t>
      </w:r>
    </w:p>
    <w:p>
      <w:pPr>
        <w:pStyle w:val="BodyText"/>
      </w:pPr>
      <w:r>
        <w:rPr>
          <w:iCs/>
          <w:i/>
        </w:rPr>
        <w:t xml:space="preserve">Challenge 3: Talent Retention in Moscow</w:t>
      </w:r>
      <w:r>
        <w:br/>
      </w:r>
      <w:r>
        <w:t xml:space="preserve">Competing with Rosatom for physics talent was critical. We implemented our "Physicist Partnership Program" (offering co-authorship opportunities in joint publications), reducing key engineer attrition by 63%.</w:t>
      </w:r>
    </w:p>
    <w:bookmarkEnd w:id="24"/>
    <w:bookmarkStart w:id="25" w:name="X56dfe8843d1e69396b8131fbc12e1fe829c43cf"/>
    <w:p>
      <w:pPr>
        <w:pStyle w:val="Heading2"/>
      </w:pPr>
      <w:r>
        <w:t xml:space="preserve">VI. Moscow's Future: Quantum Leap Opportunities</w:t>
      </w:r>
    </w:p>
    <w:p>
      <w:pPr>
        <w:pStyle w:val="FirstParagraph"/>
      </w:pPr>
      <w:r>
        <w:t xml:space="preserve">Based on my physicist analysis of Russia's Science &amp; Technology Development Strategy 2030, three high-potential avenues require immediate action: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Quantum Computing Infrastructure:</w:t>
      </w:r>
      <w:r>
        <w:t xml:space="preserve"> </w:t>
      </w:r>
      <w:r>
        <w:t xml:space="preserve">Moscow's new $1.4B Quantum Center will need calibration systems—projecting $3.2M in sales potential by Q2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Space Physics Expansion:</w:t>
      </w:r>
      <w:r>
        <w:t xml:space="preserve"> </w:t>
      </w:r>
      <w:r>
        <w:t xml:space="preserve">Roscosmos' Luna-26 mission requires novel radiation sensors, representing a $950K market segment we're currently qualifying.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Transition Synergies:</w:t>
      </w:r>
      <w:r>
        <w:t xml:space="preserve"> </w:t>
      </w:r>
      <w:r>
        <w:t xml:space="preserve">Moscow's national hydrogen initiative demands advanced plasma diagnostics—our physics team has already prototype-tested solutions with Gazprom Neft R&amp;D.</w:t>
      </w:r>
    </w:p>
    <w:bookmarkEnd w:id="25"/>
    <w:bookmarkStart w:id="26" w:name="X592299de10d482c4d2dba4c46eabf3ff6d0676a"/>
    <w:p>
      <w:pPr>
        <w:pStyle w:val="Heading2"/>
      </w:pPr>
      <w:r>
        <w:t xml:space="preserve">VII. Conclusion: The Physics Imperative in Russia</w:t>
      </w:r>
    </w:p>
    <w:p>
      <w:pPr>
        <w:pStyle w:val="FirstParagraph"/>
      </w:pPr>
      <w:r>
        <w:t xml:space="preserve">This Sales Report unequivocally demonstrates that success in Russia's Moscow market hinges on physics expertise—not just as a product feature, but as the core of our sales methodology. As a physicist who has navigated both academic research and commercialization cycles for two decades, I affirm that: "The most successful technology sales in Moscow don't sell machines—they sell validated physics." Our 31.9% YoY growth validates this approach amid unprecedented market volatility.</w:t>
      </w:r>
    </w:p>
    <w:p>
      <w:pPr>
        <w:pStyle w:val="BodyText"/>
      </w:pPr>
      <w:r>
        <w:t xml:space="preserve">Looking forward, I recommend allocating 40% of our Moscow sales budget to physicist-led technical teams for the upcoming "National Quantum Initiative" funding rounds. This strategic investment will position us as Russia's premier physics solutions provider, directly aligning with Moscow's ambition to become a global physics innovation hub by 2035. The data is clear: in Russia, where scientific prestige drives procurement decisions, the physicist isn't just a salesperson—they are the indispensable bridge between revolutionary science and commercial success.</w:t>
      </w:r>
    </w:p>
    <w:p>
      <w:pPr>
        <w:pStyle w:val="BodyText"/>
      </w:pPr>
      <w:r>
        <w:rPr>
          <w:bCs/>
          <w:b/>
        </w:rPr>
        <w:t xml:space="preserve">Prepared With Insight From Physics Domain Mastery</w:t>
      </w:r>
      <w:r>
        <w:br/>
      </w:r>
      <w:r>
        <w:t xml:space="preserve">Dr. Elena Petrova | Senior Sales Strategist (PhD in Quantum Electrodynamics)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Physics Innovation Solutions in Moscow</dc:title>
  <dc:creator/>
  <dc:language>en</dc:language>
  <cp:keywords/>
  <dcterms:created xsi:type="dcterms:W3CDTF">2025-12-11T14:25:49Z</dcterms:created>
  <dcterms:modified xsi:type="dcterms:W3CDTF">2025-12-11T14:25:49Z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