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7" w:name="Xa6ff53bdf3522ed140f4b58a3bf2584914271e9"/>
    <w:p>
      <w:pPr>
        <w:pStyle w:val="Heading1"/>
      </w:pPr>
      <w:r>
        <w:t xml:space="preserve">Official Sales Report: Advanced Scientific Equipment Division -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Scientific Solutions Management</w:t>
      </w:r>
      <w:r>
        <w:br/>
      </w:r>
      <w:r>
        <w:rPr>
          <w:bCs/>
          <w:b/>
        </w:rPr>
        <w:t xml:space="preserve">Report Author:</w:t>
      </w:r>
      <w:r>
        <w:t xml:space="preserve"> </w:t>
      </w:r>
      <w:r>
        <w:t xml:space="preserve">Dr. Elena Petrova, Senior Physicist &amp; Sales Strategist</w:t>
      </w:r>
    </w:p>
    <w:bookmarkStart w:id="20" w:name="i.-executive-summary"/>
    <w:p>
      <w:pPr>
        <w:pStyle w:val="Heading2"/>
      </w:pPr>
      <w:r>
        <w:t xml:space="preserve">I. Executive Summary</w:t>
      </w:r>
    </w:p>
    <w:p>
      <w:pPr>
        <w:pStyle w:val="FirstParagraph"/>
      </w:pPr>
      <w:r>
        <w:t xml:space="preserve">This comprehensive Sales Report details the operational performance of our Advanced Scientific Equipment Division within Russia Saint Petersburg during Q3 2023. As a physicist specializing in applied quantum instrumentation sales, I have led market penetration efforts across key academic and industrial hubs in Saint Petersburg. The region delivered 17% year-over-year growth, with total revenue reaching €487,000 against a €416,500 target. This success directly stems from our physicist-driven approach to understanding complex client needs within Russia's scientific ecosystem. Crucially, all sales strategies were developed and executed by a physicist with deep domain expertise in particle physics instrumentation – proving that technical credibility remains paramount in high-stakes laboratory equipment sales.</w:t>
      </w:r>
    </w:p>
    <w:bookmarkEnd w:id="20"/>
    <w:bookmarkStart w:id="21" w:name="Xef8f7b207c4d18b4a0fd949c7f0514e315dda17"/>
    <w:p>
      <w:pPr>
        <w:pStyle w:val="Heading2"/>
      </w:pPr>
      <w:r>
        <w:t xml:space="preserve">II. Market Context: Russia Saint Petersburg Scientific Landscape</w:t>
      </w:r>
    </w:p>
    <w:p>
      <w:pPr>
        <w:pStyle w:val="FirstParagraph"/>
      </w:pPr>
      <w:r>
        <w:t xml:space="preserve">As the leading scientific center in North Western Russia, Saint Petersburg hosts 37 major research institutions including the Russian Academy of Sciences' Physics Institute, Peterhof National Research University, and the St. Petersburg Nuclear Physics Institute (PNPI). These entities drive 63% of Russia's quantum physics research funding. Our Sales Report confirms that Saint Petersburg accounts for 28% of all high-precision scientific equipment purchases in Russia – a market where our physicist-led sales team maintains a competitive edge through technical validation.</w:t>
      </w:r>
    </w:p>
    <w:p>
      <w:pPr>
        <w:pStyle w:val="BodyText"/>
      </w:pPr>
      <w:r>
        <w:t xml:space="preserve">Key market differentiators observed:</w:t>
      </w:r>
    </w:p>
    <w:p>
      <w:pPr>
        <w:numPr>
          <w:ilvl w:val="0"/>
          <w:numId w:val="1001"/>
        </w:numPr>
        <w:pStyle w:val="Compact"/>
      </w:pPr>
      <w:r>
        <w:t xml:space="preserve">143 new lab construction projects requiring quantum instrumentation</w:t>
      </w:r>
    </w:p>
    <w:p>
      <w:pPr>
        <w:numPr>
          <w:ilvl w:val="0"/>
          <w:numId w:val="1001"/>
        </w:numPr>
        <w:pStyle w:val="Compact"/>
      </w:pPr>
      <w:r>
        <w:t xml:space="preserve">22% increase in government funding for accelerator physics programs</w:t>
      </w:r>
    </w:p>
    <w:p>
      <w:pPr>
        <w:numPr>
          <w:ilvl w:val="0"/>
          <w:numId w:val="1001"/>
        </w:numPr>
        <w:pStyle w:val="Compact"/>
      </w:pPr>
      <w:r>
        <w:t xml:space="preserve">Demand surge for cryogenic particle detectors (up 39% YoY)</w:t>
      </w:r>
    </w:p>
    <w:bookmarkEnd w:id="21"/>
    <w:bookmarkStart w:id="22" w:name="Xda6861096023558de51ea06ce666ab830c37d7b"/>
    <w:p>
      <w:pPr>
        <w:pStyle w:val="Heading2"/>
      </w:pPr>
      <w:r>
        <w:t xml:space="preserve">III. Sales Performance Analysis: Physicist-Driven Results</w:t>
      </w:r>
    </w:p>
    <w:p>
      <w:pPr>
        <w:pStyle w:val="FirstParagraph"/>
      </w:pPr>
      <w:r>
        <w:t xml:space="preserve">Our unique physicist sales model – where every client interaction is led by a certified physicist with field experience – generated exceptional results. This approach directly addresses Russia Saint Petersburg's stringent technical requirements, as evidenced by:</w:t>
      </w:r>
    </w:p>
    <w:p>
      <w:pPr>
        <w:pStyle w:val="BodyText"/>
      </w:pPr>
      <w:r>
        <w:t xml:space="preserve">Product Category</w:t>
      </w:r>
    </w:p>
    <w:p>
      <w:pPr>
        <w:pStyle w:val="BodyText"/>
      </w:pPr>
      <w:r>
        <w:t xml:space="preserve">Q3 2023 Revenue</w:t>
      </w:r>
    </w:p>
    <w:p>
      <w:pPr>
        <w:pStyle w:val="BodyText"/>
      </w:pPr>
      <w:r>
        <w:t xml:space="preserve">YoY Change</w:t>
      </w:r>
    </w:p>
    <w:p>
      <w:pPr>
        <w:pStyle w:val="BodyText"/>
      </w:pPr>
      <w:r>
        <w:t xml:space="preserve">Key Clients in Saint Petersburg</w:t>
      </w:r>
    </w:p>
    <w:p>
      <w:pPr>
        <w:pStyle w:val="BodyText"/>
      </w:pPr>
      <w:r>
        <w:t xml:space="preserve">Cryogenics Systems (6K-15K Series)</w:t>
      </w:r>
    </w:p>
    <w:p>
      <w:pPr>
        <w:pStyle w:val="BodyText"/>
      </w:pPr>
      <w:r>
        <w:t xml:space="preserve">€189,000</w:t>
      </w:r>
    </w:p>
    <w:p>
      <w:pPr>
        <w:pStyle w:val="BodyText"/>
      </w:pPr>
      <w:r>
        <w:t xml:space="preserve">+42%</w:t>
      </w:r>
    </w:p>
    <w:p>
      <w:pPr>
        <w:pStyle w:val="BodyText"/>
      </w:pPr>
      <w:r>
        <w:t xml:space="preserve">PNPI, St. Petersburg State University</w:t>
      </w:r>
    </w:p>
    <w:p>
      <w:pPr>
        <w:pStyle w:val="BodyText"/>
      </w:pPr>
      <w:r>
        <w:t xml:space="preserve">Laser Interferometer Arrays</w:t>
      </w:r>
    </w:p>
    <w:p>
      <w:pPr>
        <w:pStyle w:val="BodyText"/>
      </w:pPr>
      <w:r>
        <w:rPr>
          <w:iCs/>
          <w:i/>
          <w:bCs/>
          <w:b/>
        </w:rPr>
        <w:t xml:space="preserve">(Physicist-validated)</w:t>
      </w:r>
    </w:p>
    <w:p>
      <w:pPr>
        <w:pStyle w:val="BodyText"/>
      </w:pPr>
      <w:r>
        <w:t xml:space="preserve">€127,000</w:t>
      </w:r>
    </w:p>
    <w:p>
      <w:pPr>
        <w:pStyle w:val="BodyText"/>
      </w:pPr>
      <w:r>
        <w:t xml:space="preserve">Quantum Sensors (Multi-Channel)</w:t>
      </w:r>
    </w:p>
    <w:p>
      <w:pPr>
        <w:pStyle w:val="BodyText"/>
      </w:pPr>
      <w:r>
        <w:t xml:space="preserve">€98,500</w:t>
      </w:r>
    </w:p>
    <w:p>
      <w:pPr>
        <w:pStyle w:val="BodyText"/>
      </w:pPr>
      <w:r>
        <w:t xml:space="preserve">+27%</w:t>
      </w:r>
    </w:p>
    <w:p>
      <w:pPr>
        <w:pStyle w:val="BodyText"/>
      </w:pPr>
      <w:r>
        <w:t xml:space="preserve">Peterhof NRU, Skolkovo Innovation Center</w:t>
      </w:r>
    </w:p>
    <w:p>
      <w:pPr>
        <w:pStyle w:val="BodyText"/>
      </w:pPr>
      <w:r>
        <w:t xml:space="preserve">Total</w:t>
      </w:r>
    </w:p>
    <w:p>
      <w:pPr>
        <w:pStyle w:val="BodyText"/>
      </w:pPr>
      <w:r>
        <w:t xml:space="preserve">€414,500 (99.5% of target)</w:t>
      </w:r>
    </w:p>
    <w:p>
      <w:pPr>
        <w:pStyle w:val="BodyText"/>
      </w:pPr>
      <w:r>
        <w:t xml:space="preserve">+33% vs Q2 2023</w:t>
      </w:r>
    </w:p>
    <w:p>
      <w:pPr>
        <w:pStyle w:val="BodyText"/>
      </w:pPr>
      <w:r>
        <w:rPr>
          <w:bCs/>
          <w:b/>
        </w:rPr>
        <w:t xml:space="preserve">The physicist-led sales approach directly influenced client trust:</w:t>
      </w:r>
      <w:r>
        <w:t xml:space="preserve"> </w:t>
      </w:r>
      <w:r>
        <w:t xml:space="preserve">87% of new contracts included technical validation sessions conducted by our physics team, compared to industry average of 41%. In Russia Saint Petersburg, where experimental validation is non-negotiable, this methodology reduced sales cycles by 32 days versus conventional sales models. The Sales Report underscores that our physicist's ability to discuss detector resolution limits in nanometer-scale precision (not just product specs) was the decisive factor in securing contracts with St. Petersburg's top research entities.</w:t>
      </w:r>
    </w:p>
    <w:bookmarkEnd w:id="22"/>
    <w:bookmarkStart w:id="23" w:name="Xb6c3ec854d51e02f8972e6c43f7100a061b67d6"/>
    <w:p>
      <w:pPr>
        <w:pStyle w:val="Heading2"/>
      </w:pPr>
      <w:r>
        <w:t xml:space="preserve">IV. Strategic Insights: Russia Saint Petersburg Market Dynamics</w:t>
      </w:r>
    </w:p>
    <w:p>
      <w:pPr>
        <w:pStyle w:val="FirstParagraph"/>
      </w:pPr>
      <w:r>
        <w:t xml:space="preserve">This Sales Report identifies three critical market shifts specific to Russia Saint Petersburg:</w:t>
      </w:r>
    </w:p>
    <w:p>
      <w:pPr>
        <w:numPr>
          <w:ilvl w:val="0"/>
          <w:numId w:val="1002"/>
        </w:numPr>
        <w:pStyle w:val="Compact"/>
      </w:pPr>
      <w:r>
        <w:rPr>
          <w:bCs/>
          <w:b/>
        </w:rPr>
        <w:t xml:space="preserve">Government Procurement Shifts:</w:t>
      </w:r>
      <w:r>
        <w:t xml:space="preserve"> </w:t>
      </w:r>
      <w:r>
        <w:t xml:space="preserve">New Federal Research Program #17 (approved June 2023) allocates €18.7M for quantum infrastructure in Saint Petersburg, creating a pipeline of €5.3M in potential sales over 24 months.</w:t>
      </w:r>
    </w:p>
    <w:p>
      <w:pPr>
        <w:numPr>
          <w:ilvl w:val="0"/>
          <w:numId w:val="1002"/>
        </w:numPr>
        <w:pStyle w:val="Compact"/>
      </w:pPr>
      <w:r>
        <w:rPr>
          <w:bCs/>
          <w:b/>
        </w:rPr>
        <w:t xml:space="preserve">Local Competitor Weakness:</w:t>
      </w:r>
      <w:r>
        <w:t xml:space="preserve"> </w:t>
      </w:r>
      <w:r>
        <w:t xml:space="preserve">Only two Russian manufacturers offer certified cryogenics systems; both lack physicist-led technical support – an opportunity our team has capitalized on.</w:t>
      </w:r>
    </w:p>
    <w:p>
      <w:pPr>
        <w:numPr>
          <w:ilvl w:val="0"/>
          <w:numId w:val="1002"/>
        </w:numPr>
        <w:pStyle w:val="Compact"/>
      </w:pPr>
      <w:r>
        <w:rPr>
          <w:bCs/>
          <w:b/>
        </w:rPr>
        <w:t xml:space="preserve">Cultural Nuance:</w:t>
      </w:r>
      <w:r>
        <w:t xml:space="preserve"> </w:t>
      </w:r>
      <w:r>
        <w:t xml:space="preserve">Saint Petersburg research institutions prioritize peer-reviewed validation over marketing claims. Our Sales Report confirms that 94% of closed deals included collaborative testing protocols co-developed by our physicist and client's R&amp;D team.</w:t>
      </w:r>
    </w:p>
    <w:bookmarkEnd w:id="23"/>
    <w:bookmarkStart w:id="24" w:name="v.-challenges-physicist-driven-solutions"/>
    <w:p>
      <w:pPr>
        <w:pStyle w:val="Heading2"/>
      </w:pPr>
      <w:r>
        <w:t xml:space="preserve">V. Challenges &amp; Physicist-Driven Solutions</w:t>
      </w:r>
    </w:p>
    <w:p>
      <w:pPr>
        <w:pStyle w:val="FirstParagraph"/>
      </w:pPr>
      <w:r>
        <w:t xml:space="preserve">While achieving remarkable results, we faced three significant challenges unique to Russia Saint Petersburg:</w:t>
      </w:r>
    </w:p>
    <w:p>
      <w:pPr>
        <w:numPr>
          <w:ilvl w:val="0"/>
          <w:numId w:val="1003"/>
        </w:numPr>
        <w:pStyle w:val="Compact"/>
      </w:pPr>
      <w:r>
        <w:rPr>
          <w:bCs/>
          <w:b/>
        </w:rPr>
        <w:t xml:space="preserve">Technical Misalignment:</w:t>
      </w:r>
      <w:r>
        <w:t xml:space="preserve"> </w:t>
      </w:r>
      <w:r>
        <w:t xml:space="preserve">Initial sales pitches failed when using commercial language. Solution: Our physicist re-engineered all technical documentation to mirror PNPI's internal protocol formats – increasing conversion rates by 58%.</w:t>
      </w:r>
    </w:p>
    <w:p>
      <w:pPr>
        <w:numPr>
          <w:ilvl w:val="0"/>
          <w:numId w:val="1003"/>
        </w:numPr>
        <w:pStyle w:val="Compact"/>
      </w:pPr>
      <w:r>
        <w:rPr>
          <w:bCs/>
          <w:b/>
        </w:rPr>
        <w:t xml:space="preserve">Supply Chain Disruptions:</w:t>
      </w:r>
      <w:r>
        <w:t xml:space="preserve"> </w:t>
      </w:r>
      <w:r>
        <w:t xml:space="preserve">Import restrictions delayed cryogenics parts. Solution: Our physicist developed a local calibration method using St. Petersburg's existing lab infrastructure, maintaining 93% on-time delivery.</w:t>
      </w:r>
    </w:p>
    <w:bookmarkEnd w:id="24"/>
    <w:bookmarkStart w:id="25" w:name="X4e8587cc386b6dc46907b2ac2500e566de98399"/>
    <w:p>
      <w:pPr>
        <w:pStyle w:val="Heading2"/>
      </w:pPr>
      <w:r>
        <w:t xml:space="preserve">VI. Future Roadmap: Sales Strategy for Russia Saint Petersburg</w:t>
      </w:r>
    </w:p>
    <w:p>
      <w:pPr>
        <w:pStyle w:val="FirstParagraph"/>
      </w:pPr>
      <w:r>
        <w:t xml:space="preserve">Based on this Sales Report, we recommend three actions for sustained growth:</w:t>
      </w:r>
    </w:p>
    <w:p>
      <w:pPr>
        <w:numPr>
          <w:ilvl w:val="0"/>
          <w:numId w:val="1004"/>
        </w:numPr>
        <w:pStyle w:val="Compact"/>
      </w:pPr>
      <w:r>
        <w:rPr>
          <w:bCs/>
          <w:b/>
        </w:rPr>
        <w:t xml:space="preserve">Establish Saint Petersburg Physics Advisory Board:</w:t>
      </w:r>
      <w:r>
        <w:t xml:space="preserve"> </w:t>
      </w:r>
      <w:r>
        <w:t xml:space="preserve">Formalize collaboration with PNPI and St. Petersburg University physicists to co-develop next-gen instrumentation – directly leveraging our physicist sales expertise.</w:t>
      </w:r>
    </w:p>
    <w:p>
      <w:pPr>
        <w:numPr>
          <w:ilvl w:val="0"/>
          <w:numId w:val="1004"/>
        </w:numPr>
        <w:pStyle w:val="Compact"/>
      </w:pPr>
      <w:r>
        <w:rPr>
          <w:bCs/>
          <w:b/>
        </w:rPr>
        <w:t xml:space="preserve">Localized Technical Support Hub:</w:t>
      </w:r>
      <w:r>
        <w:t xml:space="preserve"> </w:t>
      </w:r>
      <w:r>
        <w:t xml:space="preserve">Open a physics-engineering center in the Petrodvortsovaya Industrial Zone by Q2 2024, reducing service response time from 14 to 3 business days for Saint Petersburg clients.</w:t>
      </w:r>
    </w:p>
    <w:p>
      <w:pPr>
        <w:numPr>
          <w:ilvl w:val="0"/>
          <w:numId w:val="1004"/>
        </w:numPr>
        <w:pStyle w:val="Compact"/>
      </w:pPr>
      <w:r>
        <w:rPr>
          <w:bCs/>
          <w:b/>
        </w:rPr>
        <w:t xml:space="preserve">Predictive Demand Modeling:</w:t>
      </w:r>
      <w:r>
        <w:t xml:space="preserve"> </w:t>
      </w:r>
      <w:r>
        <w:t xml:space="preserve">Implement AI-driven forecasting using Russia Saint Petersburg's research grant data (validated by our physicist team), projecting €6.8M in new opportunities by Q4 2024.</w:t>
      </w:r>
    </w:p>
    <w:bookmarkEnd w:id="25"/>
    <w:bookmarkStart w:id="26" w:name="vii.-conclusion"/>
    <w:p>
      <w:pPr>
        <w:pStyle w:val="Heading2"/>
      </w:pPr>
      <w:r>
        <w:t xml:space="preserve">VII. Conclusion</w:t>
      </w:r>
    </w:p>
    <w:p>
      <w:pPr>
        <w:pStyle w:val="FirstParagraph"/>
      </w:pPr>
      <w:r>
        <w:t xml:space="preserve">This Sales Report unequivocally demonstrates that technical credibility – embodied by the physicist sales specialist – is the primary growth engine for scientific equipment markets in Russia Saint Petersburg. Our physicist-led team not only achieved 99.5% of quarterly targets but established a new industry benchmark for technical sales in Russian academia. The success metrics (17% YoY growth, 58% higher conversion from technical engagement) validate that when a physicist sells physics equipment, the transaction becomes a scientific partnership rather than merely a procurement process.</w:t>
      </w:r>
    </w:p>
    <w:p>
      <w:pPr>
        <w:pStyle w:val="BodyText"/>
      </w:pPr>
      <w:r>
        <w:t xml:space="preserve">Looking ahead, we will double down on this model across Russia's major research centers. For Saint Petersburg specifically – as the heart of Russia's quantum physics innovation ecosystem – our Sales Report confirms that continued investment in physicist sales capabilities represents both the most strategic and profitable path forward. The data is clear: In the demanding world of high-precision instrumentation, a physicist doesn't just sell products; they validate scientific excellence.</w:t>
      </w:r>
    </w:p>
    <w:p>
      <w:pPr>
        <w:pStyle w:val="BodyText"/>
      </w:pPr>
      <w:r>
        <w:rPr>
          <w:bCs/>
          <w:b/>
        </w:rPr>
        <w:t xml:space="preserve">Submitted by:</w:t>
      </w:r>
      <w:r>
        <w:t xml:space="preserve"> </w:t>
      </w:r>
      <w:r>
        <w:t xml:space="preserve">Dr. Elena Petrova, Senior Physicist &amp; Sales Director</w:t>
      </w:r>
      <w:r>
        <w:br/>
      </w:r>
      <w:r>
        <w:rPr>
          <w:bCs/>
          <w:b/>
        </w:rPr>
        <w:t xml:space="preserve">Company:</w:t>
      </w:r>
      <w:r>
        <w:t xml:space="preserve"> </w:t>
      </w:r>
      <w:r>
        <w:t xml:space="preserve">Global Scientific Solutions – Russia Division</w:t>
      </w:r>
      <w:r>
        <w:br/>
      </w:r>
      <w:r>
        <w:rPr>
          <w:bCs/>
          <w:b/>
        </w:rPr>
        <w:t xml:space="preserve">Contact:</w:t>
      </w:r>
      <w:r>
        <w:t xml:space="preserve"> </w:t>
      </w:r>
      <w:r>
        <w:t xml:space="preserve">epetrova@globalscisolutions.ru | +7 (812) 555-0199</w:t>
      </w:r>
    </w:p>
    <w:p>
      <w:pPr>
        <w:pStyle w:val="BodyText"/>
      </w:pPr>
      <w:r>
        <w:rPr>
          <w:iCs/>
          <w:i/>
        </w:rPr>
        <w:t xml:space="preserve">Note: All figures based on internal sales data validated by Saint Petersburg Chamber of Commerce Audit Committee. Physicist-led sales methodology certified by Russian Academy of Sciences,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Saint Petersburg Market Analysis</dc:title>
  <dc:creator/>
  <dc:language>en</dc:language>
  <cp:keywords/>
  <dcterms:created xsi:type="dcterms:W3CDTF">2026-07-21T04:03:13Z</dcterms:created>
  <dcterms:modified xsi:type="dcterms:W3CDTF">2026-07-21T04:03:13Z</dcterms:modified>
</cp:coreProperties>
</file>

<file path=docProps/custom.xml><?xml version="1.0" encoding="utf-8"?>
<Properties xmlns="http://schemas.openxmlformats.org/officeDocument/2006/custom-properties" xmlns:vt="http://schemas.openxmlformats.org/officeDocument/2006/docPropsVTypes"/>
</file>