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Physics</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25e82d4dff46273e2f6d523c229fa9f2859c2a"/>
    <w:p>
      <w:pPr>
        <w:pStyle w:val="Heading1"/>
      </w:pPr>
      <w:r>
        <w:t xml:space="preserve">Valencia Physics Market Sales Performance Report: Q3 2023</w:t>
      </w:r>
    </w:p>
    <w:bookmarkStart w:id="20" w:name="executive-summary"/>
    <w:p>
      <w:pPr>
        <w:pStyle w:val="Heading2"/>
      </w:pPr>
      <w:r>
        <w:t xml:space="preserve">Executive Summary</w:t>
      </w:r>
    </w:p>
    <w:p>
      <w:pPr>
        <w:pStyle w:val="FirstParagraph"/>
      </w:pPr>
      <w:r>
        <w:t xml:space="preserve">This report details the sales performance of physics-related products and services across the Valencia region, Spain. The quarter concluded with a 15.7% year-over-year growth in revenue, totaling €8.4 million, significantly outperforming regional economic averages. This success stems from strategic partnerships with Valencia's leading research institutions, alignment with regional innovation initiatives (including València 2030), and targeted solutions for physics-driven industries operating in the Valencia metropolitan area.</w:t>
      </w:r>
    </w:p>
    <w:bookmarkEnd w:id="20"/>
    <w:bookmarkStart w:id="21" w:name="X0f0079eee27a261714ff0008d08952ca4c11c90"/>
    <w:p>
      <w:pPr>
        <w:pStyle w:val="Heading2"/>
      </w:pPr>
      <w:r>
        <w:t xml:space="preserve">Market Context: Physics Ecosystem in Spain Valencia</w:t>
      </w:r>
    </w:p>
    <w:p>
      <w:pPr>
        <w:pStyle w:val="FirstParagraph"/>
      </w:pPr>
      <w:r>
        <w:t xml:space="preserve">Valencia has emerged as a critical hub for physics applications within Spain, supported by world-class institutions like the University of Valencia (UV), Polytechnic University of Valencia (UPV), and the Institute for Research in Biomedicine (IRB) Vall d'Hebron. The region hosts 32% of Spain's national research funding allocated to fundamental physics, making it an ideal market for specialized physics solutions. Key sectors driving demand include renewable energy R&amp;D (particularly photovoltaic technology), medical imaging innovation, and semiconductor manufacturing support services – all heavily reliant on physicist expertise.</w:t>
      </w:r>
    </w:p>
    <w:bookmarkEnd w:id="21"/>
    <w:bookmarkStart w:id="22" w:name="key-sales-performance-metrics"/>
    <w:p>
      <w:pPr>
        <w:pStyle w:val="Heading2"/>
      </w:pPr>
      <w:r>
        <w:t xml:space="preserve">Key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Top Client Institutions in Valencia</w:t>
            </w:r>
          </w:p>
        </w:tc>
      </w:tr>
      <w:tr>
        <w:tc>
          <w:tcPr/>
          <w:p>
            <w:pPr>
              <w:pStyle w:val="Compact"/>
              <w:jc w:val="left"/>
            </w:pPr>
            <w:r>
              <w:t xml:space="preserve">Advanced Laboratory Equipment for Physics Research</w:t>
            </w:r>
          </w:p>
        </w:tc>
        <w:tc>
          <w:tcPr/>
          <w:p>
            <w:pPr>
              <w:pStyle w:val="Compact"/>
              <w:jc w:val="left"/>
            </w:pPr>
            <w:r>
              <w:t xml:space="preserve">3,200,000</w:t>
            </w:r>
          </w:p>
        </w:tc>
        <w:tc>
          <w:tcPr/>
          <w:p>
            <w:pPr>
              <w:pStyle w:val="Compact"/>
              <w:jc w:val="left"/>
            </w:pPr>
            <w:r>
              <w:t xml:space="preserve">19.2%</w:t>
            </w:r>
          </w:p>
        </w:tc>
        <w:tc>
          <w:tcPr/>
          <w:p>
            <w:pPr>
              <w:pStyle w:val="Compact"/>
              <w:jc w:val="left"/>
            </w:pPr>
            <w:r>
              <w:t xml:space="preserve">UV Physics Department, IVIA Energy Lab</w:t>
            </w:r>
          </w:p>
        </w:tc>
      </w:tr>
      <w:tr>
        <w:tc>
          <w:tcPr/>
          <w:p>
            <w:pPr>
              <w:pStyle w:val="Compact"/>
              <w:jc w:val="left"/>
            </w:pPr>
            <w:r>
              <w:t xml:space="preserve">Data Analysis Software for Particle Physics</w:t>
            </w:r>
          </w:p>
        </w:tc>
        <w:tc>
          <w:tcPr/>
          <w:p>
            <w:pPr>
              <w:pStyle w:val="Compact"/>
              <w:jc w:val="left"/>
            </w:pPr>
            <w:r>
              <w:t xml:space="preserve">1,850,000</w:t>
            </w:r>
          </w:p>
        </w:tc>
        <w:tc>
          <w:tcPr/>
          <w:p>
            <w:pPr>
              <w:pStyle w:val="Compact"/>
              <w:jc w:val="left"/>
            </w:pPr>
            <w:r>
              <w:t xml:space="preserve">24.5%</w:t>
            </w:r>
          </w:p>
        </w:tc>
        <w:tc>
          <w:tcPr/>
          <w:p>
            <w:pPr>
              <w:pStyle w:val="Compact"/>
              <w:jc w:val="left"/>
            </w:pPr>
            <w:r>
              <w:t xml:space="preserve">CERN Collaboration Units (Valencia)</w:t>
            </w:r>
          </w:p>
        </w:tc>
      </w:tr>
      <w:tr>
        <w:tc>
          <w:tcPr/>
          <w:p>
            <w:pPr>
              <w:pStyle w:val="Compact"/>
              <w:jc w:val="left"/>
            </w:pPr>
            <w:r>
              <w:t xml:space="preserve">Semiconductor Process Optimization Services</w:t>
            </w:r>
          </w:p>
        </w:tc>
        <w:tc>
          <w:tcPr/>
          <w:p>
            <w:pPr>
              <w:pStyle w:val="Compact"/>
              <w:jc w:val="left"/>
            </w:pPr>
            <w:r>
              <w:t xml:space="preserve">1,980,000</w:t>
            </w:r>
          </w:p>
        </w:tc>
        <w:tc>
          <w:tcPr/>
          <w:p>
            <w:pPr>
              <w:pStyle w:val="Compact"/>
              <w:jc w:val="left"/>
            </w:pPr>
            <w:r>
              <w:t xml:space="preserve">12.8%</w:t>
            </w:r>
          </w:p>
        </w:tc>
        <w:tc>
          <w:tcPr/>
          <w:p>
            <w:pPr>
              <w:pStyle w:val="Compact"/>
              <w:jc w:val="left"/>
            </w:pPr>
            <w:r>
              <w:t xml:space="preserve">NXP Valencia Fab, Silab Microelectronics</w:t>
            </w:r>
          </w:p>
        </w:tc>
      </w:tr>
      <w:tr>
        <w:tc>
          <w:tcPr/>
          <w:p>
            <w:pPr>
              <w:pStyle w:val="Compact"/>
              <w:jc w:val="left"/>
            </w:pPr>
            <w:r>
              <w:t xml:space="preserve">Renewable Energy Physics Consulting</w:t>
            </w:r>
          </w:p>
        </w:tc>
        <w:tc>
          <w:tcPr/>
          <w:p>
            <w:pPr>
              <w:pStyle w:val="Compact"/>
              <w:jc w:val="left"/>
            </w:pPr>
            <w:r>
              <w:t xml:space="preserve">1,370,000</w:t>
            </w:r>
          </w:p>
        </w:tc>
        <w:tc>
          <w:tcPr/>
          <w:p>
            <w:pPr>
              <w:pStyle w:val="Compact"/>
              <w:jc w:val="left"/>
            </w:pPr>
            <w:r>
              <w:t xml:space="preserve">21.1%</w:t>
            </w:r>
          </w:p>
        </w:tc>
        <w:tc>
          <w:tcPr/>
          <w:p>
            <w:pPr>
              <w:pStyle w:val="Compact"/>
              <w:jc w:val="left"/>
            </w:pPr>
            <w:r>
              <w:t xml:space="preserve">CID-UPV (Valencia Renewable Energy Center)</w:t>
            </w:r>
          </w:p>
        </w:tc>
      </w:tr>
    </w:tbl>
    <w:bookmarkEnd w:id="22"/>
    <w:bookmarkStart w:id="23" w:name="X059b140a75bab57d59be5e4a3482810e49c8e8e"/>
    <w:p>
      <w:pPr>
        <w:pStyle w:val="Heading2"/>
      </w:pPr>
      <w:r>
        <w:t xml:space="preserve">Detailed Market Analysis: Why Physics Drives Valencia's Economy</w:t>
      </w:r>
    </w:p>
    <w:p>
      <w:pPr>
        <w:pStyle w:val="FirstParagraph"/>
      </w:pPr>
      <w:r>
        <w:t xml:space="preserve">The Valencian physics market is uniquely positioned at the intersection of academic excellence and industrial application. Unlike other Spanish regions, Valencia has leveraged its physicist talent pool to create a virtuous cycle: universities attract research funding (€142M allocated for physics in 2023), which fuels industry partnerships. This directly impacts sales performance – our consulting services saw a 41% increase in demand from companies seeking physicists for photovoltaic efficiency projects following the Spanish National Energy Strategy update.</w:t>
      </w:r>
    </w:p>
    <w:p>
      <w:pPr>
        <w:pStyle w:val="BodyText"/>
      </w:pPr>
      <w:r>
        <w:t xml:space="preserve">Notable growth drivers include:</w:t>
      </w:r>
    </w:p>
    <w:p>
      <w:pPr>
        <w:numPr>
          <w:ilvl w:val="0"/>
          <w:numId w:val="1001"/>
        </w:numPr>
        <w:pStyle w:val="Compact"/>
      </w:pPr>
      <w:r>
        <w:rPr>
          <w:bCs/>
          <w:b/>
        </w:rPr>
        <w:t xml:space="preserve">Renewable Energy Expansion:</w:t>
      </w:r>
      <w:r>
        <w:t xml:space="preserve"> </w:t>
      </w:r>
      <w:r>
        <w:t xml:space="preserve">Valencia's goal to generate 70% of electricity from renewables by 2030 has accelerated sales of physics-optimized solar tracking systems and materials analysis tools.</w:t>
      </w:r>
    </w:p>
    <w:p>
      <w:pPr>
        <w:numPr>
          <w:ilvl w:val="0"/>
          <w:numId w:val="1001"/>
        </w:numPr>
        <w:pStyle w:val="Compact"/>
      </w:pPr>
      <w:r>
        <w:rPr>
          <w:bCs/>
          <w:b/>
        </w:rPr>
        <w:t xml:space="preserve">Medical Physics Boom:</w:t>
      </w:r>
      <w:r>
        <w:t xml:space="preserve"> </w:t>
      </w:r>
      <w:r>
        <w:t xml:space="preserve">Partnerships with Hospital Clínico Universitario de Valencia increased demand for MRI physics calibration services by 35% in Q3.</w:t>
      </w:r>
    </w:p>
    <w:p>
      <w:pPr>
        <w:numPr>
          <w:ilvl w:val="0"/>
          <w:numId w:val="1001"/>
        </w:numPr>
        <w:pStyle w:val="Compact"/>
      </w:pPr>
      <w:r>
        <w:rPr>
          <w:bCs/>
          <w:b/>
        </w:rPr>
        <w:t xml:space="preserve">Semiconductor Localization:</w:t>
      </w:r>
      <w:r>
        <w:t xml:space="preserve"> </w:t>
      </w:r>
      <w:r>
        <w:t xml:space="preserve">NXP's €500M investment in its Valencia facility created immediate need for physicists specializing in wafer defect analysis (contributing €1.98M to sales).</w:t>
      </w:r>
    </w:p>
    <w:bookmarkEnd w:id="23"/>
    <w:bookmarkStart w:id="24" w:name="X683f4435de8670ed845a20237fd91a9c5c1b989"/>
    <w:p>
      <w:pPr>
        <w:pStyle w:val="Heading2"/>
      </w:pPr>
      <w:r>
        <w:t xml:space="preserve">Strategic Initiatives Fueling Sales Growth</w:t>
      </w:r>
    </w:p>
    <w:p>
      <w:pPr>
        <w:pStyle w:val="FirstParagraph"/>
      </w:pPr>
      <w:r>
        <w:t xml:space="preserve">Our Valencia-based team implemented three key strategies specifically tailored to physicist workflows:</w:t>
      </w:r>
    </w:p>
    <w:p>
      <w:pPr>
        <w:numPr>
          <w:ilvl w:val="0"/>
          <w:numId w:val="1002"/>
        </w:numPr>
        <w:pStyle w:val="Compact"/>
      </w:pPr>
      <w:r>
        <w:rPr>
          <w:bCs/>
          <w:b/>
        </w:rPr>
        <w:t xml:space="preserve">University-Industry Integration Program:</w:t>
      </w:r>
      <w:r>
        <w:t xml:space="preserve"> </w:t>
      </w:r>
      <w:r>
        <w:t xml:space="preserve">Collaborated with UPV's Physics Engineering Faculty to co-develop lab equipment training modules. This resulted in a 28% increase in university procurement contracts – directly involving physics faculty as decision-makers.</w:t>
      </w:r>
    </w:p>
    <w:p>
      <w:pPr>
        <w:numPr>
          <w:ilvl w:val="0"/>
          <w:numId w:val="1002"/>
        </w:numPr>
        <w:pStyle w:val="Compact"/>
      </w:pPr>
      <w:r>
        <w:rPr>
          <w:bCs/>
          <w:b/>
        </w:rPr>
        <w:t xml:space="preserve">València 2030 Digital Accelerator:</w:t>
      </w:r>
      <w:r>
        <w:t xml:space="preserve"> </w:t>
      </w:r>
      <w:r>
        <w:t xml:space="preserve">Secured official partnership status to provide physics analytics tools for municipal smart grid projects, capturing €1.1M in public-sector contracts.</w:t>
      </w:r>
    </w:p>
    <w:p>
      <w:pPr>
        <w:numPr>
          <w:ilvl w:val="0"/>
          <w:numId w:val="1002"/>
        </w:numPr>
        <w:pStyle w:val="Compact"/>
      </w:pPr>
      <w:r>
        <w:rPr>
          <w:bCs/>
          <w:b/>
        </w:rPr>
        <w:t xml:space="preserve">Specialized Physicist Talent Matching:</w:t>
      </w:r>
      <w:r>
        <w:t xml:space="preserve"> </w:t>
      </w:r>
      <w:r>
        <w:t xml:space="preserve">Launched a dedicated service connecting companies with certified physicists (validated through UV accreditation) – reducing client onboarding time by 63% and increasing conversion rates.</w:t>
      </w:r>
    </w:p>
    <w:bookmarkEnd w:id="24"/>
    <w:bookmarkStart w:id="25" w:name="regional-challenges-solutions"/>
    <w:p>
      <w:pPr>
        <w:pStyle w:val="Heading2"/>
      </w:pPr>
      <w:r>
        <w:t xml:space="preserve">Regional Challenges &amp; Solutions</w:t>
      </w:r>
    </w:p>
    <w:p>
      <w:pPr>
        <w:pStyle w:val="FirstParagraph"/>
      </w:pPr>
      <w:r>
        <w:t xml:space="preserve">Despite strong growth, challenges unique to Spain Valencia required adaptive sales approaches:</w:t>
      </w:r>
    </w:p>
    <w:p>
      <w:pPr>
        <w:numPr>
          <w:ilvl w:val="0"/>
          <w:numId w:val="1003"/>
        </w:numPr>
        <w:pStyle w:val="Compact"/>
      </w:pPr>
      <w:r>
        <w:rPr>
          <w:bCs/>
          <w:b/>
        </w:rPr>
        <w:t xml:space="preserve">Local Competition:</w:t>
      </w:r>
      <w:r>
        <w:t xml:space="preserve"> </w:t>
      </w:r>
      <w:r>
        <w:t xml:space="preserve">Facing established Spanish competitors, we differentiated by emphasizing physics-specific expertise (not just generic tech solutions). Our sales team now includes 5 senior physicists with Valencian university affiliations.</w:t>
      </w:r>
    </w:p>
    <w:p>
      <w:pPr>
        <w:numPr>
          <w:ilvl w:val="0"/>
          <w:numId w:val="1003"/>
        </w:numPr>
        <w:pStyle w:val="Compact"/>
      </w:pPr>
      <w:r>
        <w:rPr>
          <w:bCs/>
          <w:b/>
        </w:rPr>
        <w:t xml:space="preserve">Language &amp; Cultural Nuance:</w:t>
      </w:r>
      <w:r>
        <w:t xml:space="preserve"> </w:t>
      </w:r>
      <w:r>
        <w:t xml:space="preserve">Implemented bilingual (Spanish/English) technical documentation and localizing client presentations to reflect Valencia's academic culture – increasing close rates by 22%.</w:t>
      </w:r>
    </w:p>
    <w:p>
      <w:pPr>
        <w:numPr>
          <w:ilvl w:val="0"/>
          <w:numId w:val="1003"/>
        </w:numPr>
        <w:pStyle w:val="Compact"/>
      </w:pPr>
      <w:r>
        <w:rPr>
          <w:bCs/>
          <w:b/>
        </w:rPr>
        <w:t xml:space="preserve">Funding Cycles:</w:t>
      </w:r>
      <w:r>
        <w:t xml:space="preserve"> </w:t>
      </w:r>
      <w:r>
        <w:t xml:space="preserve">Aligned sales cycles with the Spanish Ministry of Science's annual grant disbursement timeline (Q4), resulting in a 30% higher win rate on major projects.</w:t>
      </w:r>
    </w:p>
    <w:bookmarkEnd w:id="25"/>
    <w:bookmarkStart w:id="26" w:name="X1864b96b20e9b1988d3181560ea788263e52306"/>
    <w:p>
      <w:pPr>
        <w:pStyle w:val="Heading2"/>
      </w:pPr>
      <w:r>
        <w:t xml:space="preserve">Future Outlook: Physics-Driven Growth in Valencia</w:t>
      </w:r>
    </w:p>
    <w:p>
      <w:pPr>
        <w:pStyle w:val="FirstParagraph"/>
      </w:pPr>
      <w:r>
        <w:t xml:space="preserve">The trajectory for physics-related sales in Spain Valencia remains exceptionally strong. Upcoming catalysts include:</w:t>
      </w:r>
    </w:p>
    <w:p>
      <w:pPr>
        <w:numPr>
          <w:ilvl w:val="0"/>
          <w:numId w:val="1004"/>
        </w:numPr>
        <w:pStyle w:val="Compact"/>
      </w:pPr>
      <w:r>
        <w:rPr>
          <w:bCs/>
          <w:b/>
        </w:rPr>
        <w:t xml:space="preserve">European Research Council (ERC) Funding:</w:t>
      </w:r>
      <w:r>
        <w:t xml:space="preserve"> </w:t>
      </w:r>
      <w:r>
        <w:t xml:space="preserve">Valencia is set to receive €28M in new ERC grants for quantum physics – directly correlating to 18-24 month sales pipeline.</w:t>
      </w:r>
    </w:p>
    <w:p>
      <w:pPr>
        <w:numPr>
          <w:ilvl w:val="0"/>
          <w:numId w:val="1004"/>
        </w:numPr>
        <w:pStyle w:val="Compact"/>
      </w:pPr>
      <w:r>
        <w:rPr>
          <w:bCs/>
          <w:b/>
        </w:rPr>
        <w:t xml:space="preserve">Solar Valley Expansion:</w:t>
      </w:r>
      <w:r>
        <w:t xml:space="preserve"> </w:t>
      </w:r>
      <w:r>
        <w:t xml:space="preserve">Government-backed initiative creating Europe's largest solar energy cluster in Valencia province will require continuous physics support.</w:t>
      </w:r>
    </w:p>
    <w:p>
      <w:pPr>
        <w:numPr>
          <w:ilvl w:val="0"/>
          <w:numId w:val="1004"/>
        </w:numPr>
        <w:pStyle w:val="Compact"/>
      </w:pPr>
      <w:r>
        <w:rPr>
          <w:bCs/>
          <w:b/>
        </w:rPr>
        <w:t xml:space="preserve">Valencia Physics Innovation Hub:</w:t>
      </w:r>
      <w:r>
        <w:t xml:space="preserve"> </w:t>
      </w:r>
      <w:r>
        <w:t xml:space="preserve">Scheduled opening in Q2 2024 will centralize industry-academia collaboration, positioning us for early adoption of new services.</w:t>
      </w:r>
    </w:p>
    <w:p>
      <w:pPr>
        <w:pStyle w:val="FirstParagraph"/>
      </w:pPr>
      <w:r>
        <w:t xml:space="preserve">Our Q4 forecast projects €9.6M in sales (14.3% growth), with renewable energy physics consulting expected to become our largest segment by 2024. The key success factor across all channels remains deep integration with Valencia's physicist community – not just selling products, but enabling their work through tailored solutions.</w:t>
      </w:r>
    </w:p>
    <w:bookmarkEnd w:id="26"/>
    <w:bookmarkStart w:id="27" w:name="conclusion"/>
    <w:p>
      <w:pPr>
        <w:pStyle w:val="Heading2"/>
      </w:pPr>
      <w:r>
        <w:t xml:space="preserve">Conclusion</w:t>
      </w:r>
    </w:p>
    <w:p>
      <w:pPr>
        <w:pStyle w:val="FirstParagraph"/>
      </w:pPr>
      <w:r>
        <w:t xml:space="preserve">The Sales Report for Physics-Related Solutions in Spain Valencia demonstrates how aligning business strategy with the region's scientific ecosystem delivers exceptional results. By recognizing that physicists are not merely customers but the driving force behind Valencia's innovation economy, we've transformed our sales approach from product-centric to value-centric. The 15.7% YoY growth is not an anomaly – it's a reflection of Spain Valencia's strategic position where physics expertise directly fuels economic advancement, creating sustained demand for specialized solutions that empower physicists at every level.</w:t>
      </w:r>
    </w:p>
    <w:p>
      <w:pPr>
        <w:pStyle w:val="BodyText"/>
      </w:pPr>
      <w:r>
        <w:rPr>
          <w:iCs/>
          <w:i/>
        </w:rPr>
        <w:t xml:space="preserve">Prepared by Global Physics Solutions | Madrid HQ | València Office: Calle de la Física 145, 46022 Valencia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Physics Market Sales Report - Q3 2023</dc:title>
  <dc:creator/>
  <dc:language>en</dc:language>
  <cp:keywords/>
  <dcterms:created xsi:type="dcterms:W3CDTF">2026-07-15T05:57:55Z</dcterms:created>
  <dcterms:modified xsi:type="dcterms:W3CDTF">2026-07-15T05:57:55Z</dcterms:modified>
</cp:coreProperties>
</file>

<file path=docProps/custom.xml><?xml version="1.0" encoding="utf-8"?>
<Properties xmlns="http://schemas.openxmlformats.org/officeDocument/2006/custom-properties" xmlns:vt="http://schemas.openxmlformats.org/officeDocument/2006/docPropsVTypes"/>
</file>