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Physicist-Driven</w:t>
      </w:r>
      <w:r>
        <w:t xml:space="preserve"> </w:t>
      </w:r>
      <w:r>
        <w:t xml:space="preserve">Innovation</w:t>
      </w:r>
      <w:r>
        <w:t xml:space="preserve"> </w:t>
      </w:r>
      <w:r>
        <w:t xml:space="preserve">in</w:t>
      </w:r>
      <w:r>
        <w:t xml:space="preserve"> </w:t>
      </w:r>
      <w:r>
        <w:t xml:space="preserve">Turkey</w:t>
      </w:r>
      <w:r>
        <w:t xml:space="preserve"> </w:t>
      </w:r>
      <w:r>
        <w:t xml:space="preserve">Ankara</w:t>
      </w:r>
      <w:r>
        <w:t xml:space="preserve"> </w:t>
      </w:r>
      <w:r>
        <w:t xml:space="preserve">Market</w:t>
      </w:r>
    </w:p>
    <w:bookmarkStart w:id="27" w:name="X3d518fe3dd578425a8eb73323d8a24c0280604f"/>
    <w:p>
      <w:pPr>
        <w:pStyle w:val="Heading1"/>
      </w:pPr>
      <w:r>
        <w:t xml:space="preserve">Q3 2023 SALES REPORT: PHYSICIST-LED STRATEGIES FOR GROWTH IN TURKEY ANKARA</w:t>
      </w:r>
    </w:p>
    <w:p>
      <w:pPr>
        <w:pStyle w:val="FirstParagraph"/>
      </w:pPr>
      <w:r>
        <w:rPr>
          <w:bCs/>
          <w:b/>
        </w:rPr>
        <w:t xml:space="preserve">Prepared For:</w:t>
      </w:r>
      <w:r>
        <w:t xml:space="preserve"> </w:t>
      </w:r>
      <w:r>
        <w:t xml:space="preserve">Executive Leadership, Ankara Operations Hub</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exceptional performance of our Physics-Engineered Solutions team in Turkey Ankara, where a specialized Physicist-led sales strategy directly drove a 37% year-over-year revenue increase. Positioned within Ankara's burgeoning technology ecosystem, our Physicist sales representatives have redefined market engagement by translating complex scientific capabilities into tangible client value—proving that technical expertise is the cornerstone of high-stakes B2B sales in Turkey's capital city. This document serves as both a performance record and a strategic blueprint for scaling physicist-integrated sales models across Anatolia.</w:t>
      </w:r>
    </w:p>
    <w:bookmarkEnd w:id="20"/>
    <w:bookmarkStart w:id="21" w:name="X72f91a97295887eccad94a8537b31c5defa8765"/>
    <w:p>
      <w:pPr>
        <w:pStyle w:val="Heading2"/>
      </w:pPr>
      <w:r>
        <w:t xml:space="preserve">II. Market Context: Turkey Ankara Dynamics</w:t>
      </w:r>
    </w:p>
    <w:p>
      <w:pPr>
        <w:pStyle w:val="FirstParagraph"/>
      </w:pPr>
      <w:r>
        <w:t xml:space="preserve">Ankara, as Turkey's political and scientific epicenter, hosts 67% of the nation's research institutions (TÜBİTAK data). The city's demand for physics-driven solutions has surged by 29% YoY due to government initiatives like "Ankara Tech Valley" and increased defense R&amp;D funding. Our Physicist sales team strategically capitalized on this trend by aligning with Ankara's unique institutional landscape—targeting universities (Hacettepe, Middle East Technical University), national labs (TÜBİTAK UZAY), and defense contractors. Unlike generic sales approaches, our Physicist representatives conducted technical discovery sessions that resonated with Ankara's R&amp;D-focused clientele, transforming initial inquiries into multi-year contracts.</w:t>
      </w:r>
    </w:p>
    <w:bookmarkEnd w:id="21"/>
    <w:bookmarkStart w:id="22" w:name="iii.-physicist-sales-performance-metrics"/>
    <w:p>
      <w:pPr>
        <w:pStyle w:val="Heading2"/>
      </w:pPr>
      <w:r>
        <w:t xml:space="preserve">III. Physicist Sales Performance Metrics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Δ YoY</w:t>
      </w:r>
    </w:p>
    <w:p>
      <w:pPr>
        <w:pStyle w:val="BodyText"/>
      </w:pPr>
      <w:r>
        <w:t xml:space="preserve">Sales Revenue (₺)</w:t>
      </w:r>
    </w:p>
    <w:p>
      <w:pPr>
        <w:pStyle w:val="BodyText"/>
      </w:pPr>
      <w:r>
        <w:t xml:space="preserve">18.7M</w:t>
      </w:r>
    </w:p>
    <w:p>
      <w:pPr>
        <w:pStyle w:val="BodyText"/>
      </w:pPr>
      <w:r>
        <w:t xml:space="preserve">13.6M</w:t>
      </w:r>
    </w:p>
    <w:p>
      <w:pPr>
        <w:pStyle w:val="BodyText"/>
      </w:pPr>
      <w:r>
        <w:t xml:space="preserve">+37.5%</w:t>
      </w:r>
    </w:p>
    <w:p>
      <w:pPr>
        <w:pStyle w:val="BodyText"/>
      </w:pPr>
      <w:r>
        <w:t xml:space="preserve">New Enterprise Contracts</w:t>
      </w:r>
    </w:p>
    <w:p>
      <w:pPr>
        <w:pStyle w:val="BodyText"/>
      </w:pPr>
      <w:r>
        <w:rPr>
          <w:bCs/>
          <w:b/>
        </w:rPr>
        <w:t xml:space="preserve">24</w:t>
      </w:r>
    </w:p>
    <w:p>
      <w:pPr>
        <w:pStyle w:val="BodyText"/>
      </w:pPr>
      <w:r>
        <w:t xml:space="preserve">Average Deal Size (₺)</w:t>
      </w:r>
    </w:p>
    <w:p>
      <w:pPr>
        <w:pStyle w:val="BodyText"/>
      </w:pPr>
      <w:r>
        <w:t xml:space="preserve">985K</w:t>
      </w:r>
    </w:p>
    <w:p>
      <w:pPr>
        <w:pStyle w:val="BodyText"/>
      </w:pPr>
      <w:r>
        <w:t xml:space="preserve">720K</w:t>
      </w:r>
    </w:p>
    <w:p>
      <w:pPr>
        <w:pStyle w:val="BodyText"/>
      </w:pPr>
      <w:r>
        <w:t xml:space="preserve">+36.8%</w:t>
      </w:r>
    </w:p>
    <w:p>
      <w:pPr>
        <w:pStyle w:val="BodyText"/>
      </w:pPr>
      <w:r>
        <w:t xml:space="preserve">Cross-Sell Rate to Existing Clients</w:t>
      </w:r>
    </w:p>
    <w:p>
      <w:pPr>
        <w:pStyle w:val="BodyText"/>
      </w:pPr>
      <w:r>
        <w:t xml:space="preserve">68%</w:t>
      </w:r>
    </w:p>
    <w:p>
      <w:pPr>
        <w:pStyle w:val="BodyText"/>
      </w:pPr>
      <w:r>
        <w:t xml:space="preserve">42%</w:t>
      </w:r>
    </w:p>
    <w:p>
      <w:pPr>
        <w:pStyle w:val="BodyText"/>
      </w:pPr>
      <w:r>
        <w:t xml:space="preserve">+26 pts</w:t>
      </w:r>
    </w:p>
    <w:p>
      <w:pPr>
        <w:pStyle w:val="BodyText"/>
      </w:pPr>
      <w:r>
        <w:t xml:space="preserve">The Physicist sales team achieved a 3.1x higher win rate on complex technical RFPs versus non-technical counterparts. Crucially, 73% of new clients were acquired through referrals from Ankara-based research institutions—evidencing how our Physicist’s credibility with academic circles directly fuels commercial growth.</w:t>
      </w:r>
    </w:p>
    <w:bookmarkEnd w:id="22"/>
    <w:bookmarkStart w:id="23" w:name="iv.-key-success-drivers-in-turkey-ankara"/>
    <w:p>
      <w:pPr>
        <w:pStyle w:val="Heading2"/>
      </w:pPr>
      <w:r>
        <w:t xml:space="preserve">IV. Key Success Drivers in Turkey Ankara</w:t>
      </w:r>
    </w:p>
    <w:p>
      <w:pPr>
        <w:pStyle w:val="FirstParagraph"/>
      </w:pPr>
      <w:r>
        <w:rPr>
          <w:bCs/>
          <w:b/>
        </w:rPr>
        <w:t xml:space="preserve">A) Technical Credibility as Differentiator:</w:t>
      </w:r>
      <w:r>
        <w:t xml:space="preserve"> </w:t>
      </w:r>
      <w:r>
        <w:t xml:space="preserve">In Ankara's competitive B2B environment, our Physicist sales representatives—holding advanced degrees from institutions like Istanbul Technical University—spearheaded 14 technical workshops at Hacettepe University. This established instant trust with decision-makers who previously distrusted vendors without physics expertise. One pivotal win was the $2.3M contract with ASELSAN for quantum sensor calibration systems, where our Physicist’s ability to explain error-margin tolerances (±0.003%) in military-grade applications sealed the deal.</w:t>
      </w:r>
    </w:p>
    <w:p>
      <w:pPr>
        <w:pStyle w:val="BodyText"/>
      </w:pPr>
      <w:r>
        <w:rPr>
          <w:bCs/>
          <w:b/>
        </w:rPr>
        <w:t xml:space="preserve">B) Localized Solution Architecture:</w:t>
      </w:r>
      <w:r>
        <w:t xml:space="preserve"> </w:t>
      </w:r>
      <w:r>
        <w:t xml:space="preserve">Unlike standardized global offerings, Ankara sales strategies were co-developed with our Physicist team to address Turkey's specific regulatory landscape. For example, they modified radiation detection systems to meet TSE 5824 certification requirements—a critical factor in securing contracts with Ankara Hospital Group. This local adaptation reduced project implementation time by 31%.</w:t>
      </w:r>
    </w:p>
    <w:p>
      <w:pPr>
        <w:pStyle w:val="BodyText"/>
      </w:pPr>
      <w:r>
        <w:rPr>
          <w:bCs/>
          <w:b/>
        </w:rPr>
        <w:t xml:space="preserve">C) Strategic University Partnerships:</w:t>
      </w:r>
      <w:r>
        <w:t xml:space="preserve"> </w:t>
      </w:r>
      <w:r>
        <w:t xml:space="preserve">In partnership with Middle East Technical University (METU), our Physicist sales leads initiated the "Ankara Tech Talent Pipeline," placing interns at client sites. This not only generated 8 qualified referrals but also positioned us as an ecosystem partner—key for long-term growth in Turkey Ankara's innovation cluster.</w:t>
      </w:r>
    </w:p>
    <w:bookmarkEnd w:id="23"/>
    <w:bookmarkStart w:id="24" w:name="Xf24f0f4a1fa283ed29c4a481541e20117bc79c9"/>
    <w:p>
      <w:pPr>
        <w:pStyle w:val="Heading2"/>
      </w:pPr>
      <w:r>
        <w:t xml:space="preserve">V. Challenges Addressed by Physicist Expertise</w:t>
      </w:r>
    </w:p>
    <w:p>
      <w:pPr>
        <w:pStyle w:val="FirstParagraph"/>
      </w:pPr>
      <w:r>
        <w:t xml:space="preserve">When the Turkish Ministry of Defense delayed procurement due to unclear technical specs on our satellite communication suite, our Ankara-based Physicist team conducted rapid field validations at Konya Airbase. They produced a 12-page physics-driven feasibility report demonstrating performance under Anatolian terrain conditions—overcoming bureaucratic delays and securing a $4.1M follow-on contract.</w:t>
      </w:r>
    </w:p>
    <w:p>
      <w:pPr>
        <w:pStyle w:val="BodyText"/>
      </w:pPr>
      <w:r>
        <w:t xml:space="preserve">Additionally, currency volatility (TRY/USD) threatened margins on imported components. The Physicist sales lead proposed a dynamic pricing model based on real-time material science cost analytics, preserving 92% of gross profit while maintaining client competitiveness—critical for sustaining growth in Turkey's fluctuating economy.</w:t>
      </w:r>
    </w:p>
    <w:bookmarkEnd w:id="24"/>
    <w:bookmarkStart w:id="25" w:name="X8f5c73af62b5c8f05b570822ad212c5428e3fe9"/>
    <w:p>
      <w:pPr>
        <w:pStyle w:val="Heading2"/>
      </w:pPr>
      <w:r>
        <w:t xml:space="preserve">VI. Future Roadmap: Scaling the Physicist Sales Model</w:t>
      </w:r>
    </w:p>
    <w:p>
      <w:pPr>
        <w:pStyle w:val="FirstParagraph"/>
      </w:pPr>
      <w:r>
        <w:t xml:space="preserve">Based on Q3 success, we propose a 3-phase expansion for Turkey Ankara:</w:t>
      </w:r>
    </w:p>
    <w:p>
      <w:pPr>
        <w:numPr>
          <w:ilvl w:val="0"/>
          <w:numId w:val="1001"/>
        </w:numPr>
        <w:pStyle w:val="Compact"/>
      </w:pPr>
      <w:r>
        <w:rPr>
          <w:bCs/>
          <w:b/>
        </w:rPr>
        <w:t xml:space="preserve">Phase 1 (Q1 2024):</w:t>
      </w:r>
      <w:r>
        <w:t xml:space="preserve"> </w:t>
      </w:r>
      <w:r>
        <w:t xml:space="preserve">Establish an "Ankara Physics Innovation Hub" co-located with TÜBİTAK to accelerate R&amp;D-sales integration.</w:t>
      </w:r>
    </w:p>
    <w:p>
      <w:pPr>
        <w:numPr>
          <w:ilvl w:val="0"/>
          <w:numId w:val="1001"/>
        </w:numPr>
        <w:pStyle w:val="Compact"/>
      </w:pPr>
      <w:r>
        <w:rPr>
          <w:bCs/>
          <w:b/>
        </w:rPr>
        <w:t xml:space="preserve">Phase 2 (Q2 2024):</w:t>
      </w:r>
      <w:r>
        <w:t xml:space="preserve"> </w:t>
      </w:r>
      <w:r>
        <w:t xml:space="preserve">Deploy physicist-led sales teams across 3 additional Turkish cities using Ankara's playbook.</w:t>
      </w:r>
    </w:p>
    <w:p>
      <w:pPr>
        <w:numPr>
          <w:ilvl w:val="0"/>
          <w:numId w:val="1001"/>
        </w:numPr>
        <w:pStyle w:val="Compact"/>
      </w:pPr>
      <w:r>
        <w:rPr>
          <w:bCs/>
          <w:b/>
        </w:rPr>
        <w:t xml:space="preserve">Phase 3 (H2 2024):</w:t>
      </w:r>
      <w:r>
        <w:t xml:space="preserve"> </w:t>
      </w:r>
      <w:r>
        <w:t xml:space="preserve">Launch a Turkey-specific physics certification program for sales staff, with Ankara as the training base.</w:t>
      </w:r>
    </w:p>
    <w:p>
      <w:pPr>
        <w:pStyle w:val="FirstParagraph"/>
      </w:pPr>
      <w:r>
        <w:t xml:space="preserve">Our data indicates that physicist-integrated sales will capture 18.7% of Turkey's $1.2B physics solutions market by 2025—up from 4.3% in 2023—making Ankara the strategic nucleus for this growth.</w:t>
      </w:r>
    </w:p>
    <w:bookmarkEnd w:id="25"/>
    <w:bookmarkStart w:id="26" w:name="vii.-conclusion"/>
    <w:p>
      <w:pPr>
        <w:pStyle w:val="Heading2"/>
      </w:pPr>
      <w:r>
        <w:t xml:space="preserve">VII. Conclusion</w:t>
      </w:r>
    </w:p>
    <w:p>
      <w:pPr>
        <w:pStyle w:val="FirstParagraph"/>
      </w:pPr>
      <w:r>
        <w:t xml:space="preserve">This Sales Report unequivocally demonstrates that a specialized Physicist sales function is not merely an asset but a revenue engine within Turkey Ankara's advanced technology market. The 37% YoY growth achieved through physics-driven engagement—outperforming the sector average by 22 percentage points—validates our model. As Ankara solidifies its position as Turkey's science capital, integrating Physicist expertise into sales operations isn't just strategic; it's the only path to sustainable market leadership. We recommend full organizational adoption of this framework, with Ankara serving as the template for all MENA operations.</w:t>
      </w:r>
    </w:p>
    <w:p>
      <w:pPr>
        <w:pStyle w:val="BodyText"/>
      </w:pPr>
      <w:r>
        <w:rPr>
          <w:bCs/>
          <w:b/>
        </w:rPr>
        <w:t xml:space="preserve">Prepared By:</w:t>
      </w:r>
      <w:r>
        <w:t xml:space="preserve"> </w:t>
      </w:r>
      <w:r>
        <w:t xml:space="preserve">Global Sales Intelligence Unit</w:t>
      </w:r>
      <w:r>
        <w:br/>
      </w:r>
      <w:r>
        <w:rPr>
          <w:bCs/>
          <w:b/>
        </w:rPr>
        <w:t xml:space="preserve">Special Note:</w:t>
      </w:r>
      <w:r>
        <w:t xml:space="preserve"> </w:t>
      </w:r>
      <w:r>
        <w:t xml:space="preserve">This report reflects outcomes achieved by our Physics-Integrated Sales Model—a proprietary framework developed specifically for Turkey Ankara's unique R&amp;D ecosystem. All data is verified through the Ankara Operations Dashboard (CODA v3.1).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Physicist-Driven Innovation in Turkey Ankara Market</dc:title>
  <dc:creator/>
  <dc:language>en</dc:language>
  <cp:keywords/>
  <dcterms:created xsi:type="dcterms:W3CDTF">2026-07-15T04:08:47Z</dcterms:created>
  <dcterms:modified xsi:type="dcterms:W3CDTF">2026-07-15T04:08:47Z</dcterms:modified>
</cp:coreProperties>
</file>

<file path=docProps/custom.xml><?xml version="1.0" encoding="utf-8"?>
<Properties xmlns="http://schemas.openxmlformats.org/officeDocument/2006/custom-properties" xmlns:vt="http://schemas.openxmlformats.org/officeDocument/2006/docPropsVTypes"/>
</file>