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Equipment</w:t>
      </w:r>
      <w:r>
        <w:t xml:space="preserve"> </w:t>
      </w:r>
      <w:r>
        <w:t xml:space="preserve">Solutions</w:t>
      </w:r>
      <w:r>
        <w:t xml:space="preserve"> </w:t>
      </w:r>
      <w:r>
        <w:t xml:space="preserve">in</w:t>
      </w:r>
      <w:r>
        <w:t xml:space="preserve"> </w:t>
      </w:r>
      <w:r>
        <w:t xml:space="preserve">Turkey</w:t>
      </w:r>
      <w:r>
        <w:t xml:space="preserve"> </w:t>
      </w:r>
      <w:r>
        <w:t xml:space="preserve">Istanbul</w:t>
      </w:r>
      <w:r>
        <w:t xml:space="preserve"> </w:t>
      </w:r>
      <w:r>
        <w:t xml:space="preserve">Market</w:t>
      </w:r>
    </w:p>
    <w:bookmarkStart w:id="27" w:name="Xe297ad95ed511fa417d5a190d0e601730d33ec5"/>
    <w:p>
      <w:pPr>
        <w:pStyle w:val="Heading1"/>
      </w:pPr>
      <w:r>
        <w:t xml:space="preserve">Comprehensive Sales Report: Physicist Equipment Solutions and Market Performance in Turkey Istanbul (Q3 2023)</w:t>
      </w:r>
    </w:p>
    <w:p>
      <w:pPr>
        <w:pStyle w:val="FirstParagraph"/>
      </w:pPr>
      <w:r>
        <w:rPr>
          <w:bCs/>
          <w:b/>
        </w:rPr>
        <w:t xml:space="preserve">Executive Summary:</w:t>
      </w:r>
      <w:r>
        <w:t xml:space="preserve"> </w:t>
      </w:r>
      <w:r>
        <w:t xml:space="preserve">This Sales Report details the performance of specialized physicist equipment solutions across Turkey's commercial and research sectors, with primary focus on Istanbul. The report confirms a robust 18.7% year-over-year growth in sales for precision physics instrumentation, driven by Istanbul's status as Turkey's innovation hub. Key contributors include university partnerships, industrial R&amp;D centers, and government-funded science initiatives centered in Istanbul. All data reflects verified transactions from October 2022–September 2023.</w:t>
      </w:r>
    </w:p>
    <w:bookmarkStart w:id="20" w:name="Xd6aefb284fd0fd26cf60bdc550464bae74a0e21"/>
    <w:p>
      <w:pPr>
        <w:pStyle w:val="Heading2"/>
      </w:pPr>
      <w:r>
        <w:t xml:space="preserve">Market Analysis: Turkey Istanbul as a Physics Innovation Epicenter</w:t>
      </w:r>
    </w:p>
    <w:p>
      <w:pPr>
        <w:pStyle w:val="FirstParagraph"/>
      </w:pPr>
      <w:r>
        <w:t xml:space="preserve">Istanbul remains the undisputed core of scientific advancement in Turkey, hosting 68% of the nation's physics research institutions and commercial R&amp;D facilities. This concentration directly fuels demand for high-precision physicist equipment—ranging from quantum sensors to particle detectors. The Istanbul Science Center (ISTC) alone commissioned $42M in physics instrumentation within the last fiscal year, while Marmara University’s new accelerator lab added 37 new physicist-grade systems to its portfolio. Our sales data confirms that Istanbul accounts for 73% of all Physicist equipment transactions in Turkey, underscoring its pivotal role as the national market driver.</w:t>
      </w:r>
    </w:p>
    <w:bookmarkEnd w:id="20"/>
    <w:bookmarkStart w:id="21" w:name="Xf7f77d78e375777e6a195081f3eb0e5a9507af2"/>
    <w:p>
      <w:pPr>
        <w:pStyle w:val="Heading2"/>
      </w:pPr>
      <w:r>
        <w:t xml:space="preserve">Sales Performance Breakdown: Key Metrics (Turkey Istanbul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Istanbul Sales (USD)</w:t>
            </w:r>
          </w:p>
        </w:tc>
        <w:tc>
          <w:tcPr/>
          <w:p>
            <w:pPr>
              <w:pStyle w:val="Compact"/>
              <w:jc w:val="left"/>
            </w:pPr>
            <w:r>
              <w:t xml:space="preserve">YoY Growth</w:t>
            </w:r>
          </w:p>
        </w:tc>
        <w:tc>
          <w:tcPr/>
          <w:p>
            <w:pPr>
              <w:pStyle w:val="Compact"/>
              <w:jc w:val="left"/>
            </w:pPr>
            <w:r>
              <w:t xml:space="preserve">Key Clients in Istanbul</w:t>
            </w:r>
          </w:p>
        </w:tc>
      </w:tr>
      <w:tr>
        <w:tc>
          <w:tcPr/>
          <w:p>
            <w:pPr>
              <w:pStyle w:val="Compact"/>
              <w:jc w:val="left"/>
            </w:pPr>
            <w:r>
              <w:t xml:space="preserve">Quantum Sensors &amp; Metrology Tools</w:t>
            </w:r>
          </w:p>
        </w:tc>
        <w:tc>
          <w:tcPr/>
          <w:p>
            <w:pPr>
              <w:pStyle w:val="Compact"/>
              <w:jc w:val="left"/>
            </w:pPr>
            <w:r>
              <w:t xml:space="preserve">$1,245,000</w:t>
            </w:r>
          </w:p>
        </w:tc>
        <w:tc>
          <w:tcPr/>
          <w:p>
            <w:pPr>
              <w:pStyle w:val="Compact"/>
              <w:jc w:val="left"/>
            </w:pPr>
            <w:r>
              <w:t xml:space="preserve">+24.3%</w:t>
            </w:r>
          </w:p>
        </w:tc>
        <w:tc>
          <w:tcPr/>
          <w:p>
            <w:pPr>
              <w:pStyle w:val="Compact"/>
              <w:jc w:val="left"/>
            </w:pPr>
            <w:r>
              <w:t xml:space="preserve">Istanbul Technical University (ITU), TÜBİTAK-UEKAE</w:t>
            </w:r>
          </w:p>
        </w:tc>
      </w:tr>
      <w:tr>
        <w:tc>
          <w:tcPr/>
          <w:p>
            <w:pPr>
              <w:pStyle w:val="Compact"/>
              <w:jc w:val="left"/>
            </w:pPr>
            <w:r>
              <w:t xml:space="preserve">Particle Detection Systems</w:t>
            </w:r>
          </w:p>
        </w:tc>
        <w:tc>
          <w:tcPr/>
          <w:p>
            <w:pPr>
              <w:pStyle w:val="Compact"/>
              <w:jc w:val="left"/>
            </w:pPr>
            <w:r>
              <w:t xml:space="preserve">$987,500</w:t>
            </w:r>
          </w:p>
        </w:tc>
        <w:tc>
          <w:tcPr/>
          <w:p>
            <w:pPr>
              <w:pStyle w:val="Compact"/>
              <w:jc w:val="left"/>
            </w:pPr>
            <w:r>
              <w:t xml:space="preserve">+19.8%</w:t>
            </w:r>
          </w:p>
        </w:tc>
        <w:tc>
          <w:tcPr/>
          <w:p>
            <w:pPr>
              <w:pStyle w:val="Compact"/>
              <w:jc w:val="left"/>
            </w:pPr>
            <w:r>
              <w:t xml:space="preserve">Marmara University, Istanbul Physics Institute (IPI)</w:t>
            </w:r>
          </w:p>
        </w:tc>
      </w:tr>
      <w:tr>
        <w:tc>
          <w:tcPr/>
          <w:p>
            <w:pPr>
              <w:pStyle w:val="Compact"/>
              <w:jc w:val="left"/>
            </w:pPr>
            <w:r>
              <w:t xml:space="preserve">High-Resolution Spectroscopy Units</w:t>
            </w:r>
          </w:p>
        </w:tc>
        <w:tc>
          <w:tcPr/>
          <w:p>
            <w:pPr>
              <w:pStyle w:val="Compact"/>
              <w:jc w:val="left"/>
            </w:pPr>
            <w:r>
              <w:t xml:space="preserve">$632,800</w:t>
            </w:r>
          </w:p>
        </w:tc>
        <w:tc>
          <w:tcPr/>
          <w:p>
            <w:pPr>
              <w:pStyle w:val="Compact"/>
              <w:jc w:val="left"/>
            </w:pPr>
            <w:r>
              <w:t xml:space="preserve">+27.1%</w:t>
            </w:r>
          </w:p>
        </w:tc>
        <w:tc>
          <w:tcPr/>
          <w:p>
            <w:pPr>
              <w:pStyle w:val="Compact"/>
              <w:jc w:val="left"/>
            </w:pPr>
            <w:r>
              <w:t xml:space="preserve">Kadıköy Science Hub, Istanbul Medeniyet University</w:t>
            </w:r>
          </w:p>
        </w:tc>
      </w:tr>
      <w:tr>
        <w:tc>
          <w:tcPr/>
          <w:p>
            <w:pPr>
              <w:pStyle w:val="Compact"/>
              <w:jc w:val="left"/>
            </w:pPr>
            <w:r>
              <w:t xml:space="preserve">Total Istanbul Sales (Q3 2023)</w:t>
            </w:r>
          </w:p>
        </w:tc>
        <w:tc>
          <w:tcPr/>
          <w:p>
            <w:pPr>
              <w:pStyle w:val="Compact"/>
              <w:jc w:val="left"/>
            </w:pPr>
            <w:r>
              <w:rPr>
                <w:bCs/>
                <w:b/>
              </w:rPr>
              <w:t xml:space="preserve">$2,865,300</w:t>
            </w:r>
          </w:p>
        </w:tc>
        <w:tc>
          <w:tcPr/>
          <w:p>
            <w:pPr>
              <w:pStyle w:val="Compact"/>
              <w:jc w:val="left"/>
            </w:pPr>
            <w:r>
              <w:rPr>
                <w:bCs/>
                <w:b/>
              </w:rPr>
              <w:t xml:space="preserve">+18.7%</w:t>
            </w:r>
          </w:p>
        </w:tc>
        <w:tc>
          <w:tcPr/>
          <w:p>
            <w:pPr>
              <w:pStyle w:val="Compact"/>
              <w:jc w:val="left"/>
            </w:pPr>
            <w:r>
              <w:rPr>
                <w:iCs/>
                <w:i/>
              </w:rPr>
              <w:t xml:space="preserve">vs. Turkey National Average: +9.2%</w:t>
            </w:r>
          </w:p>
        </w:tc>
      </w:tr>
    </w:tbl>
    <w:bookmarkEnd w:id="21"/>
    <w:bookmarkStart w:id="22" w:name="X512dc0f48187f55bd85a941511fc8a25f4b3892"/>
    <w:p>
      <w:pPr>
        <w:pStyle w:val="Heading2"/>
      </w:pPr>
      <w:r>
        <w:t xml:space="preserve">Strategic Insights: Why Istanbul Drives Physicist Equipment Demand</w:t>
      </w:r>
    </w:p>
    <w:p>
      <w:pPr>
        <w:pStyle w:val="FirstParagraph"/>
      </w:pPr>
      <w:r>
        <w:t xml:space="preserve">The accelerated adoption of physicist-grade instruments in Istanbul stems from three critical factors:</w:t>
      </w:r>
    </w:p>
    <w:p>
      <w:pPr>
        <w:numPr>
          <w:ilvl w:val="0"/>
          <w:numId w:val="1001"/>
        </w:numPr>
        <w:pStyle w:val="Compact"/>
      </w:pPr>
      <w:r>
        <w:rPr>
          <w:bCs/>
          <w:b/>
        </w:rPr>
        <w:t xml:space="preserve">Government Investment:</w:t>
      </w:r>
      <w:r>
        <w:t xml:space="preserve"> </w:t>
      </w:r>
      <w:r>
        <w:t xml:space="preserve">The Turkish Ministry of Industry and Technology allocated $110M for "Istanbul Physics Innovation Zones" in 2023, directly boosting equipment procurement. This initiative targets 47 new physicist research labs across the city.</w:t>
      </w:r>
    </w:p>
    <w:p>
      <w:pPr>
        <w:numPr>
          <w:ilvl w:val="0"/>
          <w:numId w:val="1001"/>
        </w:numPr>
        <w:pStyle w:val="Compact"/>
      </w:pPr>
      <w:r>
        <w:rPr>
          <w:bCs/>
          <w:b/>
        </w:rPr>
        <w:t xml:space="preserve">Academic-Industry Synergy:</w:t>
      </w:r>
      <w:r>
        <w:t xml:space="preserve"> </w:t>
      </w:r>
      <w:r>
        <w:t xml:space="preserve">Istanbul’s universities (e.g., Boğaziçi, Kocaeli) now mandate physicist instrument integration into STEM curricula. Our sales to these institutions rose by 31% YoY, with 89% of contracts tied to new laboratory setups.</w:t>
      </w:r>
    </w:p>
    <w:p>
      <w:pPr>
        <w:numPr>
          <w:ilvl w:val="0"/>
          <w:numId w:val="1001"/>
        </w:numPr>
        <w:pStyle w:val="Compact"/>
      </w:pPr>
      <w:r>
        <w:rPr>
          <w:bCs/>
          <w:b/>
        </w:rPr>
        <w:t xml:space="preserve">International Collaboration:</w:t>
      </w:r>
      <w:r>
        <w:t xml:space="preserve"> </w:t>
      </w:r>
      <w:r>
        <w:t xml:space="preserve">Istanbul’s role as a gateway between Europe and Asia attracts global physics consortia (e.g., CERN collaborations). This generated $210K in exports of physicist equipment from our Istanbul-based logistics hub during Q3.</w:t>
      </w:r>
    </w:p>
    <w:bookmarkEnd w:id="22"/>
    <w:bookmarkStart w:id="23" w:name="Xa3f6adc643554587e0b92c06d18bd8f47b974e3"/>
    <w:p>
      <w:pPr>
        <w:pStyle w:val="Heading2"/>
      </w:pPr>
      <w:r>
        <w:t xml:space="preserve">Challenges Specific to Turkey Istanbul Market</w:t>
      </w:r>
    </w:p>
    <w:p>
      <w:pPr>
        <w:pStyle w:val="FirstParagraph"/>
      </w:pPr>
      <w:r>
        <w:t xml:space="preserve">Despite strong growth, unique challenges persist. Currency fluctuations (TRY/USD) increased equipment import costs by 14% in Q1–Q2 2023, temporarily slowing purchases. Additionally, the scarcity of trained physicist technicians in Istanbul—a gap we addressed via our "Istanbul Physicist Support Network"—led to a 7% delay in system installations during peak demand months. However, these issues were mitigated through localized training programs and partnerships with Istanbul Technical University’s engineering faculty.</w:t>
      </w:r>
    </w:p>
    <w:bookmarkEnd w:id="23"/>
    <w:bookmarkStart w:id="24" w:name="Xb3d1a91c41a19a6bb96625c0ecf540beeb5ce1a"/>
    <w:p>
      <w:pPr>
        <w:pStyle w:val="Heading2"/>
      </w:pPr>
      <w:r>
        <w:t xml:space="preserve">Competitive Landscape: Outperforming Regional Rivals</w:t>
      </w:r>
    </w:p>
    <w:p>
      <w:pPr>
        <w:pStyle w:val="FirstParagraph"/>
      </w:pPr>
      <w:r>
        <w:t xml:space="preserve">In the Turkey Istanbul market, we hold a 41% share of the physicist equipment sector—surpassing European competitors (38%) and local Turkish firms (19%). Our edge stems from:</w:t>
      </w:r>
    </w:p>
    <w:p>
      <w:pPr>
        <w:numPr>
          <w:ilvl w:val="0"/>
          <w:numId w:val="1002"/>
        </w:numPr>
        <w:pStyle w:val="Compact"/>
      </w:pPr>
      <w:r>
        <w:t xml:space="preserve">Proprietary calibration services tailored for Istanbul’s high-humidity climate</w:t>
      </w:r>
    </w:p>
    <w:p>
      <w:pPr>
        <w:numPr>
          <w:ilvl w:val="0"/>
          <w:numId w:val="1002"/>
        </w:numPr>
        <w:pStyle w:val="Compact"/>
      </w:pPr>
      <w:r>
        <w:t xml:space="preserve">Same-city delivery within 48 hours for critical physicist systems</w:t>
      </w:r>
    </w:p>
    <w:p>
      <w:pPr>
        <w:numPr>
          <w:ilvl w:val="0"/>
          <w:numId w:val="1002"/>
        </w:numPr>
        <w:pStyle w:val="Compact"/>
      </w:pPr>
      <w:r>
        <w:t xml:space="preserve">Exclusive partnership with TÜBİTAK-UEKAE (Turkish National Research Institute)</w:t>
      </w:r>
    </w:p>
    <w:bookmarkEnd w:id="24"/>
    <w:bookmarkStart w:id="25" w:name="Xc2324ecee4060f8b0cc2c1a78ae6b82e9ff7507"/>
    <w:p>
      <w:pPr>
        <w:pStyle w:val="Heading2"/>
      </w:pPr>
      <w:r>
        <w:t xml:space="preserve">Futures Strategy: Scaling Physicist Sales in Istanbul</w:t>
      </w:r>
    </w:p>
    <w:p>
      <w:pPr>
        <w:pStyle w:val="FirstParagraph"/>
      </w:pPr>
      <w:r>
        <w:t xml:space="preserve">For 2024, we target a 30% sales increase in Turkey Istanbul through:</w:t>
      </w:r>
    </w:p>
    <w:p>
      <w:pPr>
        <w:numPr>
          <w:ilvl w:val="0"/>
          <w:numId w:val="1003"/>
        </w:numPr>
        <w:pStyle w:val="Compact"/>
      </w:pPr>
      <w:r>
        <w:rPr>
          <w:bCs/>
          <w:b/>
        </w:rPr>
        <w:t xml:space="preserve">Expanding the Istanbul Physicist Support Center:</w:t>
      </w:r>
      <w:r>
        <w:t xml:space="preserve"> </w:t>
      </w:r>
      <w:r>
        <w:t xml:space="preserve">Opening a second facility near Tuzla Industrial Zone to reduce response time for industrial clients (e.g., aerospace firms using physicist sensors).</w:t>
      </w:r>
    </w:p>
    <w:p>
      <w:pPr>
        <w:numPr>
          <w:ilvl w:val="0"/>
          <w:numId w:val="1003"/>
        </w:numPr>
        <w:pStyle w:val="Compact"/>
      </w:pPr>
      <w:r>
        <w:rPr>
          <w:bCs/>
          <w:b/>
        </w:rPr>
        <w:t xml:space="preserve">University Collaboration Program:</w:t>
      </w:r>
      <w:r>
        <w:t xml:space="preserve"> </w:t>
      </w:r>
      <w:r>
        <w:t xml:space="preserve">Co-funding 15 new "Physicist Lab Kits" at Istanbul schools with the Ministry of Education, targeting 200+ institutions.</w:t>
      </w:r>
    </w:p>
    <w:p>
      <w:pPr>
        <w:numPr>
          <w:ilvl w:val="0"/>
          <w:numId w:val="1003"/>
        </w:numPr>
        <w:pStyle w:val="Compact"/>
      </w:pPr>
      <w:r>
        <w:rPr>
          <w:bCs/>
          <w:b/>
        </w:rPr>
        <w:t xml:space="preserve">Istanbul Energy Research Initiative:</w:t>
      </w:r>
      <w:r>
        <w:t xml:space="preserve"> </w:t>
      </w:r>
      <w:r>
        <w:t xml:space="preserve">Partnering with local energy firms to deploy physicist-level grid monitoring systems across Istanbul’s power infrastructure.</w:t>
      </w:r>
    </w:p>
    <w:bookmarkEnd w:id="25"/>
    <w:bookmarkStart w:id="26" w:name="X278d074b3d258cce0d0a1ac9b6f8638e6f02bd9"/>
    <w:p>
      <w:pPr>
        <w:pStyle w:val="Heading2"/>
      </w:pPr>
      <w:r>
        <w:t xml:space="preserve">Conclusion: The Irreplaceable Role of Istanbul in Physicist Equipment Sales</w:t>
      </w:r>
    </w:p>
    <w:p>
      <w:pPr>
        <w:pStyle w:val="FirstParagraph"/>
      </w:pPr>
      <w:r>
        <w:t xml:space="preserve">This Sales Report unequivocally demonstrates that Turkey Istanbul is the engine of physicist equipment commercialization in Turkey. With its unparalleled concentration of research entities, government backing, and strategic location, Istanbul isn’t merely a market—it’s the national benchmark for physics innovation. Our success here directly translates to 73% of all Physicist equipment revenue in Turkey, validating our geographic strategy. As Istanbul accelerates toward becoming a global hub for quantum technologies (per the 2025 Istanbul Science Vision), demand for physicist instrumentation will only intensify. We recommend doubling down on Istanbul’s infrastructure and talent pipeline to sustain our market leadership.</w:t>
      </w:r>
    </w:p>
    <w:p>
      <w:pPr>
        <w:pStyle w:val="BodyText"/>
      </w:pPr>
      <w:r>
        <w:rPr>
          <w:bCs/>
          <w:b/>
        </w:rPr>
        <w:t xml:space="preserve">Prepared By:</w:t>
      </w:r>
      <w:r>
        <w:t xml:space="preserve"> </w:t>
      </w:r>
      <w:r>
        <w:t xml:space="preserve">Global Physics Solutions Sales Intelligence Unit</w:t>
      </w:r>
      <w:r>
        <w:br/>
      </w:r>
      <w:r>
        <w:rPr>
          <w:bCs/>
          <w:b/>
        </w:rPr>
        <w:t xml:space="preserve">Date:</w:t>
      </w:r>
      <w:r>
        <w:t xml:space="preserve"> </w:t>
      </w:r>
      <w:r>
        <w:t xml:space="preserve">October 26, 2023</w:t>
      </w:r>
      <w:r>
        <w:br/>
      </w:r>
      <w:r>
        <w:rPr>
          <w:bCs/>
          <w:b/>
        </w:rPr>
        <w:t xml:space="preserve">Report Reference:</w:t>
      </w:r>
      <w:r>
        <w:t xml:space="preserve"> </w:t>
      </w:r>
      <w:r>
        <w:t xml:space="preserve">GPS-TR-IIS-749 (Istanbul Physicist Equipment)</w:t>
      </w:r>
    </w:p>
    <w:p>
      <w:pPr>
        <w:pStyle w:val="BodyText"/>
      </w:pPr>
      <w:r>
        <w:rPr>
          <w:iCs/>
          <w:i/>
        </w:rPr>
        <w:t xml:space="preserve">Note: "Physicist" in this context refers to precision physics instrumentation and services used by physicists. All data is sourced from Turkey’s Ministry of Trade, TÜBİTAK reports, and internal sales databases for Turkey Istanbul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Equipment Solutions in Turkey Istanbul Market</dc:title>
  <dc:creator/>
  <dc:language>en</dc:language>
  <cp:keywords/>
  <dcterms:created xsi:type="dcterms:W3CDTF">2026-07-20T13:13:36Z</dcterms:created>
  <dcterms:modified xsi:type="dcterms:W3CDTF">2026-07-20T13:13:36Z</dcterms:modified>
</cp:coreProperties>
</file>

<file path=docProps/custom.xml><?xml version="1.0" encoding="utf-8"?>
<Properties xmlns="http://schemas.openxmlformats.org/officeDocument/2006/custom-properties" xmlns:vt="http://schemas.openxmlformats.org/officeDocument/2006/docPropsVTypes"/>
</file>