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97908b40185988cfb68be4645baa99e40f8d93e"/>
    <w:p>
      <w:pPr>
        <w:pStyle w:val="Heading1"/>
      </w:pPr>
      <w:r>
        <w:t xml:space="preserve">Sales Report for Physics-Driven Solutions in United Arab Emirates Abu Dhabi</w:t>
      </w:r>
    </w:p>
    <w:p>
      <w:pPr>
        <w:pStyle w:val="FirstParagraph"/>
      </w:pPr>
      <w:r>
        <w:t xml:space="preserve">Prepared for the Abu Dhabi Economic Development Board | Q3 2023 Performance Review</w:t>
      </w:r>
    </w:p>
    <w:bookmarkStart w:id="20" w:name="executive-summary"/>
    <w:p>
      <w:pPr>
        <w:pStyle w:val="Heading2"/>
      </w:pPr>
      <w:r>
        <w:t xml:space="preserve">Executive Summary</w:t>
      </w:r>
    </w:p>
    <w:p>
      <w:pPr>
        <w:pStyle w:val="FirstParagraph"/>
      </w:pPr>
      <w:r>
        <w:t xml:space="preserve">This comprehensive Sales Report details the performance of physics-based technology solutions across the United Arab Emirates Abu Dhabi market. The report demonstrates a remarkable 37% year-over-year growth in sales to scientific institutions, research facilities, and industrial clients requiring advanced physics expertise. As Abu Dhabi continues its strategic investment in scientific innovation through initiatives like the Abu Dhabi Science Festival and Masdar City research hubs, demand for specialized physicist-driven solutions has surged. This Sales Report confirms that our portfolio of quantum sensors, particle accelerators, and computational physics software is now the preferred choice for 82% of major physics research projects in United Arab Emirates Abu Dhabi.</w:t>
      </w:r>
    </w:p>
    <w:bookmarkEnd w:id="20"/>
    <w:bookmarkStart w:id="21" w:name="X27323812a9b44457f776c9cca9c9cb35b4c0e24"/>
    <w:p>
      <w:pPr>
        <w:pStyle w:val="Heading2"/>
      </w:pPr>
      <w:r>
        <w:t xml:space="preserve">Market Analysis: The Abu Dhabi Physics Landscape</w:t>
      </w:r>
    </w:p>
    <w:p>
      <w:pPr>
        <w:pStyle w:val="FirstParagraph"/>
      </w:pPr>
      <w:r>
        <w:t xml:space="preserve">Abu Dhabi's commitment to becoming a global physics research hub has fundamentally transformed the market dynamics. With over 15 major research institutions including the Mohamed bin Zayed University of Artificial Intelligence (MBZUAI), Khalifa University, and the Abu Dhabi National Oil Company (ADNOC) Research Center, demand for physicist-validated solutions has reached unprecedented levels. This Sales Report highlights that 68% of all new scientific procurement in United Arab Emirates Abu Dhabi now requires explicit validation by a qualified Physicist before purchase authorization.</w:t>
      </w:r>
    </w:p>
    <w:p>
      <w:pPr>
        <w:pStyle w:val="BodyText"/>
      </w:pPr>
      <w:r>
        <w:t xml:space="preserve">The strategic shift toward physics-led industrial applications is particularly evident in energy sector transformations. ADNOC's $12 billion sustainability initiative relies heavily on advanced physics modeling for carbon capture, making our quantum-precision gas analyzers the industry standard. Our Sales Report indicates that sales to oil &amp; gas clients in Abu Dhabi have grown by 54% this year, directly attributable to physicist recommendations and validation requirements.</w:t>
      </w:r>
    </w:p>
    <w:bookmarkEnd w:id="21"/>
    <w:bookmarkStart w:id="22" w:name="product-performance-breakdown"/>
    <w:p>
      <w:pPr>
        <w:pStyle w:val="Heading2"/>
      </w:pPr>
      <w:r>
        <w:t xml:space="preserve">Product Performance Breakdown</w:t>
      </w:r>
    </w:p>
    <w:p>
      <w:pPr>
        <w:pStyle w:val="FirstParagraph"/>
      </w:pPr>
      <w:r>
        <w:t xml:space="preserve">Our flagship quantum resonance analyzers, designed specifically for high-precision physics applications, have driven the most significant revenue growth. In United Arab Emirates Abu Dhabi alone, these solutions accounted for 41% of total sales in Q3 2023. The key factor? All major procurement committees now mandate that a Physicist must personally verify equipment specifications prior to purchase.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(AED)</w:t>
            </w:r>
          </w:p>
        </w:tc>
        <w:tc>
          <w:tcPr/>
          <w:p>
            <w:pPr>
              <w:pStyle w:val="Compact"/>
              <w:jc w:val="left"/>
            </w:pPr>
            <w:r>
              <w:t xml:space="preserve">% Growth vs. Q3 2022</w:t>
            </w:r>
          </w:p>
        </w:tc>
        <w:tc>
          <w:tcPr/>
          <w:p>
            <w:pPr>
              <w:pStyle w:val="Compact"/>
              <w:jc w:val="left"/>
            </w:pPr>
            <w:r>
              <w:t xml:space="preserve">Key Abu Dhabi Clients</w:t>
            </w:r>
          </w:p>
        </w:tc>
      </w:tr>
      <w:tr>
        <w:tc>
          <w:tcPr/>
          <w:p>
            <w:pPr>
              <w:pStyle w:val="Compact"/>
              <w:jc w:val="left"/>
            </w:pPr>
            <w:r>
              <w:t xml:space="preserve">Quantum Sensors for Material Science</w:t>
            </w:r>
          </w:p>
        </w:tc>
        <w:tc>
          <w:tcPr/>
          <w:p>
            <w:pPr>
              <w:pStyle w:val="Compact"/>
              <w:jc w:val="left"/>
            </w:pPr>
            <w:r>
              <w:t xml:space="preserve">14,850,000</w:t>
            </w:r>
          </w:p>
        </w:tc>
        <w:tc>
          <w:tcPr/>
          <w:p>
            <w:pPr>
              <w:pStyle w:val="Compact"/>
              <w:jc w:val="left"/>
            </w:pPr>
            <w:r>
              <w:t xml:space="preserve">63%</w:t>
            </w:r>
          </w:p>
        </w:tc>
        <w:tc>
          <w:tcPr/>
          <w:p>
            <w:pPr>
              <w:pStyle w:val="Compact"/>
              <w:jc w:val="left"/>
            </w:pPr>
            <w:r>
              <w:t xml:space="preserve">Masdar Institute, Khalifa University</w:t>
            </w:r>
          </w:p>
        </w:tc>
      </w:tr>
      <w:tr>
        <w:tc>
          <w:tcPr/>
          <w:p>
            <w:pPr>
              <w:pStyle w:val="Compact"/>
              <w:jc w:val="left"/>
            </w:pPr>
            <w:r>
              <w:t xml:space="preserve">Particle Accelerator Systems</w:t>
            </w:r>
          </w:p>
        </w:tc>
        <w:tc>
          <w:tcPr/>
          <w:p>
            <w:pPr>
              <w:pStyle w:val="Compact"/>
              <w:jc w:val="left"/>
            </w:pPr>
            <w:r>
              <w:t xml:space="preserve">9,220,000</w:t>
            </w:r>
          </w:p>
        </w:tc>
        <w:tc>
          <w:tcPr/>
          <w:p>
            <w:pPr>
              <w:pStyle w:val="Compact"/>
              <w:jc w:val="left"/>
            </w:pPr>
            <w:r>
              <w:t xml:space="preserve">51%</w:t>
            </w:r>
          </w:p>
        </w:tc>
        <w:tc>
          <w:tcPr/>
          <w:p>
            <w:pPr>
              <w:pStyle w:val="Compact"/>
              <w:jc w:val="left"/>
            </w:pPr>
            <w:r>
              <w:t xml:space="preserve">Abu Dhabi Department of Energy, Tawazun Group</w:t>
            </w:r>
          </w:p>
        </w:tc>
      </w:tr>
      <w:tr>
        <w:tc>
          <w:tcPr/>
          <w:p>
            <w:pPr>
              <w:pStyle w:val="Compact"/>
              <w:jc w:val="left"/>
            </w:pPr>
            <w:r>
              <w:t xml:space="preserve">Computational Physics Software Suite</w:t>
            </w:r>
          </w:p>
        </w:tc>
        <w:tc>
          <w:tcPr/>
          <w:p>
            <w:pPr>
              <w:pStyle w:val="Compact"/>
              <w:jc w:val="left"/>
            </w:pPr>
            <w:r>
              <w:t xml:space="preserve">7,685,000</w:t>
            </w:r>
          </w:p>
        </w:tc>
        <w:tc>
          <w:tcPr/>
          <w:p>
            <w:pPr>
              <w:pStyle w:val="Compact"/>
              <w:jc w:val="left"/>
            </w:pPr>
            <w:r>
              <w:t xml:space="preserve">42%</w:t>
            </w:r>
          </w:p>
        </w:tc>
        <w:tc>
          <w:tcPr/>
          <w:p>
            <w:pPr>
              <w:pStyle w:val="Compact"/>
              <w:jc w:val="left"/>
            </w:pPr>
            <w:r>
              <w:t xml:space="preserve">Mohamed bin Zayed University of AI, Abu Dhabi Health Services</w:t>
            </w:r>
          </w:p>
        </w:tc>
      </w:tr>
    </w:tbl>
    <w:bookmarkEnd w:id="22"/>
    <w:bookmarkStart w:id="23" w:name="Xb1248049ab9eb5ff453edd8fad418a4ba091489"/>
    <w:p>
      <w:pPr>
        <w:pStyle w:val="Heading2"/>
      </w:pPr>
      <w:r>
        <w:t xml:space="preserve">The Critical Role of the Physicist in Sales Cycles</w:t>
      </w:r>
    </w:p>
    <w:p>
      <w:pPr>
        <w:pStyle w:val="FirstParagraph"/>
      </w:pPr>
      <w:r>
        <w:t xml:space="preserve">Our Sales Report reveals a fundamental shift in purchasing behavior across United Arab Emirates Abu Dhabi. Unlike traditional sales models, 97% of high-value physics solutions now require direct engagement with a qualified Physicist before finalizing contracts. This isn't merely about technical validation—it's about the physicist's strategic influence within organizational decision-making.</w:t>
      </w:r>
    </w:p>
    <w:p>
      <w:pPr>
        <w:pStyle w:val="BodyText"/>
      </w:pPr>
      <w:r>
        <w:t xml:space="preserve">For example, at Khalifa University, the Physics Department Head personally validated our new nanotechnology analyzer during a site visit. His endorsement led to a $2.3 million system installation across five research labs—a deal that wouldn't have materialized without physicist involvement. This Sales Report quantifies that deals involving direct Physicist engagement close 68% faster and have 31% higher customer retention rates.</w:t>
      </w:r>
    </w:p>
    <w:bookmarkEnd w:id="23"/>
    <w:bookmarkStart w:id="24" w:name="abu-dhabi-specific-market-challenges"/>
    <w:p>
      <w:pPr>
        <w:pStyle w:val="Heading2"/>
      </w:pPr>
      <w:r>
        <w:t xml:space="preserve">Abu Dhabi-Specific Market Challenges</w:t>
      </w:r>
    </w:p>
    <w:p>
      <w:pPr>
        <w:pStyle w:val="FirstParagraph"/>
      </w:pPr>
      <w:r>
        <w:t xml:space="preserve">While growth is strong, our Sales Report identifies three key challenges specific to United Arab Emirates Abu Dhabi:</w:t>
      </w:r>
    </w:p>
    <w:p>
      <w:pPr>
        <w:numPr>
          <w:ilvl w:val="0"/>
          <w:numId w:val="1001"/>
        </w:numPr>
        <w:pStyle w:val="Compact"/>
      </w:pPr>
      <w:r>
        <w:rPr>
          <w:bCs/>
          <w:b/>
        </w:rPr>
        <w:t xml:space="preserve">Regulatory Navigation:</w:t>
      </w:r>
      <w:r>
        <w:t xml:space="preserve"> </w:t>
      </w:r>
      <w:r>
        <w:t xml:space="preserve">Abu Dhabi's unique technical standards require custom physics validation protocols that add 15-20 days to the sales cycle compared to global markets.</w:t>
      </w:r>
    </w:p>
    <w:p>
      <w:pPr>
        <w:numPr>
          <w:ilvl w:val="0"/>
          <w:numId w:val="1001"/>
        </w:numPr>
        <w:pStyle w:val="Compact"/>
      </w:pPr>
      <w:r>
        <w:rPr>
          <w:bCs/>
          <w:b/>
        </w:rPr>
        <w:t xml:space="preserve">Talent Shortage:</w:t>
      </w:r>
      <w:r>
        <w:t xml:space="preserve"> </w:t>
      </w:r>
      <w:r>
        <w:t xml:space="preserve">Only 47% of Abu Dhabi-based research facilities have in-house physicists with the expertise to evaluate advanced systems, creating dependency on our field specialists.</w:t>
      </w:r>
    </w:p>
    <w:p>
      <w:pPr>
        <w:numPr>
          <w:ilvl w:val="0"/>
          <w:numId w:val="1001"/>
        </w:numPr>
        <w:pStyle w:val="Compact"/>
      </w:pPr>
      <w:r>
        <w:rPr>
          <w:bCs/>
          <w:b/>
        </w:rPr>
        <w:t xml:space="preserve">Cultural Nuances:</w:t>
      </w:r>
      <w:r>
        <w:t xml:space="preserve"> </w:t>
      </w:r>
      <w:r>
        <w:t xml:space="preserve">Decision-making hierarchies in UAE government institutions require multiple physicist validations at different organizational levels before approval.</w:t>
      </w:r>
    </w:p>
    <w:bookmarkEnd w:id="24"/>
    <w:bookmarkStart w:id="25" w:name="strategic-recommendations-for-2024"/>
    <w:p>
      <w:pPr>
        <w:pStyle w:val="Heading2"/>
      </w:pPr>
      <w:r>
        <w:t xml:space="preserve">Strategic Recommendations for 2024</w:t>
      </w:r>
    </w:p>
    <w:p>
      <w:pPr>
        <w:pStyle w:val="FirstParagraph"/>
      </w:pPr>
      <w:r>
        <w:t xml:space="preserve">Based on this Sales Report, we recommend three pivotal actions to capitalize on the Abu Dhabi physics market:</w:t>
      </w:r>
    </w:p>
    <w:p>
      <w:pPr>
        <w:numPr>
          <w:ilvl w:val="0"/>
          <w:numId w:val="1002"/>
        </w:numPr>
        <w:pStyle w:val="Compact"/>
      </w:pPr>
      <w:r>
        <w:rPr>
          <w:bCs/>
          <w:b/>
        </w:rPr>
        <w:t xml:space="preserve">Physicist Ambassador Program:</w:t>
      </w:r>
      <w:r>
        <w:t xml:space="preserve"> </w:t>
      </w:r>
      <w:r>
        <w:t xml:space="preserve">Deploy dedicated physicist sales engineers to establish permanent relationships with key UAE research institutions. This initiative would address the talent shortage challenge and reduce sales cycle times by 25%.</w:t>
      </w:r>
    </w:p>
    <w:p>
      <w:pPr>
        <w:numPr>
          <w:ilvl w:val="0"/>
          <w:numId w:val="1002"/>
        </w:numPr>
        <w:pStyle w:val="Compact"/>
      </w:pPr>
      <w:r>
        <w:rPr>
          <w:bCs/>
          <w:b/>
        </w:rPr>
        <w:t xml:space="preserve">Local Validation Hub:</w:t>
      </w:r>
      <w:r>
        <w:t xml:space="preserve"> </w:t>
      </w:r>
      <w:r>
        <w:t xml:space="preserve">Partner with Khalifa University to create Abu Dhabi's first certified physics validation center, directly addressing regulatory navigation challenges for United Arab Emirates Abu Dhabi clients.</w:t>
      </w:r>
    </w:p>
    <w:p>
      <w:pPr>
        <w:numPr>
          <w:ilvl w:val="0"/>
          <w:numId w:val="1002"/>
        </w:numPr>
        <w:pStyle w:val="Compact"/>
      </w:pPr>
      <w:r>
        <w:rPr>
          <w:bCs/>
          <w:b/>
        </w:rPr>
        <w:t xml:space="preserve">Cultural Integration Strategy:</w:t>
      </w:r>
      <w:r>
        <w:t xml:space="preserve"> </w:t>
      </w:r>
      <w:r>
        <w:t xml:space="preserve">Develop UAE-specific sales training emphasizing the physicist's role in hierarchical decision-making processes, particularly within government and energy sectors.</w:t>
      </w:r>
    </w:p>
    <w:bookmarkEnd w:id="25"/>
    <w:bookmarkStart w:id="26" w:name="X7a4137e0c1b0814b3f1c4ada2dfd39aa7524449"/>
    <w:p>
      <w:pPr>
        <w:pStyle w:val="Heading2"/>
      </w:pPr>
      <w:r>
        <w:t xml:space="preserve">Conclusion: The Physics-Driven Future of Abu Dhabi Commerce</w:t>
      </w:r>
    </w:p>
    <w:p>
      <w:pPr>
        <w:pStyle w:val="FirstParagraph"/>
      </w:pPr>
      <w:r>
        <w:t xml:space="preserve">This Sales Report unequivocally demonstrates that in the United Arab Emirates Abu Dhabi market, success is no longer measured by standard sales metrics alone. It is fundamentally tied to the expertise and influence of the Physicist at every stage—from product development to final client approval. Our 37% growth rate confirms that organizations recognizing this dynamic are capturing unprecedented market share.</w:t>
      </w:r>
    </w:p>
    <w:p>
      <w:pPr>
        <w:pStyle w:val="BodyText"/>
      </w:pPr>
      <w:r>
        <w:t xml:space="preserve">As Abu Dhabi accelerates its vision for 2030, with physics at the core of its sustainability, energy security, and technological advancement goals, the Physicist has evolved from a technical consultant to a strategic sales partner. This Sales Report serves as both an achievement summary and a roadmap: organizations that prioritize physicist engagement will dominate the United Arab Emirates Abu Dhabi market. We project 45% growth in physics solution sales for 2024, with Abu Dhabi accounting for 61% of regional revenue—proof that when the Physicist is central to sales strategy, success becomes inevitable.</w:t>
      </w:r>
    </w:p>
    <w:p>
      <w:pPr>
        <w:pStyle w:val="BodyText"/>
      </w:pPr>
      <w:r>
        <w:t xml:space="preserve">Prepared by Global Physics Solutions | Abu Dhabi Office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Performance Report - Abu Dhabi, United Arab Emirates</dc:title>
  <dc:creator/>
  <dc:language>en</dc:language>
  <cp:keywords/>
  <dcterms:created xsi:type="dcterms:W3CDTF">2026-07-23T12:54:17Z</dcterms:created>
  <dcterms:modified xsi:type="dcterms:W3CDTF">2026-07-23T12:54:17Z</dcterms:modified>
</cp:coreProperties>
</file>

<file path=docProps/custom.xml><?xml version="1.0" encoding="utf-8"?>
<Properties xmlns="http://schemas.openxmlformats.org/officeDocument/2006/custom-properties" xmlns:vt="http://schemas.openxmlformats.org/officeDocument/2006/docPropsVTypes"/>
</file>