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Physics-Driven</w:t>
      </w:r>
      <w:r>
        <w:t xml:space="preserve"> </w:t>
      </w:r>
      <w:r>
        <w:t xml:space="preserve">Sales</w:t>
      </w:r>
      <w:r>
        <w:t xml:space="preserve"> </w:t>
      </w:r>
      <w:r>
        <w:t xml:space="preserve">Performance:</w:t>
      </w:r>
      <w:r>
        <w:t xml:space="preserve"> </w:t>
      </w:r>
      <w:r>
        <w:t xml:space="preserve">Chicago</w:t>
      </w:r>
      <w:r>
        <w:t xml:space="preserve"> </w:t>
      </w:r>
      <w:r>
        <w:t xml:space="preserve">Market</w:t>
      </w:r>
      <w:r>
        <w:t xml:space="preserve"> </w:t>
      </w:r>
      <w:r>
        <w:t xml:space="preserve">Analysis</w:t>
      </w:r>
    </w:p>
    <w:bookmarkStart w:id="28" w:name="X1efafcdf2c0f9608d67a14e081cc567224d4d4a"/>
    <w:p>
      <w:pPr>
        <w:pStyle w:val="Heading1"/>
      </w:pPr>
      <w:r>
        <w:t xml:space="preserve">SALES REPORT: PHYSICIST-LED INNOVATION AND MARKET EXPANSION IN UNITED STATES CHICAGO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Chicago Regional Office</w:t>
      </w:r>
      <w:r>
        <w:br/>
      </w:r>
      <w:r>
        <w:rPr>
          <w:bCs/>
          <w:b/>
        </w:rPr>
        <w:t xml:space="preserve">From:</w:t>
      </w:r>
      <w:r>
        <w:t xml:space="preserve"> </w:t>
      </w:r>
      <w:r>
        <w:t xml:space="preserve">Sales Strategy Division, Midwest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physics-driven services division across the United States Chicago market. Leveraging specialized expertise from certified Physicist consultants and engineers, our division achieved a 37% year-over-year revenue increase in Q3 2023, significantly outperforming regional market averages. This success underscores how integrating fundamental physics principles with commercial sales strategies creates unique competitive advantages in Chicago's innovation ecosystem. The report examines key metrics, market dynamics, and future opportunities for scaling physics-enabled solutions throughout the United States Chicago corridor.</w:t>
      </w:r>
    </w:p>
    <w:bookmarkEnd w:id="20"/>
    <w:bookmarkStart w:id="21" w:name="Xd3e7974ea97af3b0c403404ed577d40d7985c61"/>
    <w:p>
      <w:pPr>
        <w:pStyle w:val="Heading2"/>
      </w:pPr>
      <w:r>
        <w:t xml:space="preserve">II. Market Context: Why Physics Matters in United States Chicago</w:t>
      </w:r>
    </w:p>
    <w:p>
      <w:pPr>
        <w:pStyle w:val="FirstParagraph"/>
      </w:pPr>
      <w:r>
        <w:t xml:space="preserve">Chicago stands as a nexus of scientific advancement in the United States, home to Argonne National Laboratory, Fermilab, and leading universities including University of Chicago and Illinois Institute of Technology. This concentration creates an unparalleled demand for physics-based commercial solutions. Our Sales Report reveals that 68% of enterprise clients in Chicago actively seek Physicist-led expertise for R&amp;D optimization, precision manufacturing, and quantum technology adoption—up 29% from 2021. The city’s strategic position as a Midwest innovation hub has made "Physics-First" sales approaches non-negotiable for market penetration.</w:t>
      </w:r>
    </w:p>
    <w:bookmarkEnd w:id="21"/>
    <w:bookmarkStart w:id="22" w:name="iii.-q3-2023-performance-highlights"/>
    <w:p>
      <w:pPr>
        <w:pStyle w:val="Heading2"/>
      </w:pPr>
      <w:r>
        <w:t xml:space="preserve">III. Q3 2023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(Chicago)</w:t>
            </w:r>
          </w:p>
        </w:tc>
        <w:tc>
          <w:tcPr/>
          <w:p>
            <w:pPr>
              <w:pStyle w:val="Compact"/>
              <w:jc w:val="left"/>
            </w:pPr>
            <w:r>
              <w:t xml:space="preserve">$14.8M</w:t>
            </w:r>
          </w:p>
        </w:tc>
        <w:tc>
          <w:tcPr/>
          <w:p>
            <w:pPr>
              <w:pStyle w:val="Compact"/>
              <w:jc w:val="left"/>
            </w:pPr>
            <w:r>
              <w:t xml:space="preserve">$10.8M</w:t>
            </w:r>
          </w:p>
        </w:tc>
        <w:tc>
          <w:tcPr/>
          <w:p>
            <w:pPr>
              <w:pStyle w:val="Compact"/>
              <w:jc w:val="left"/>
            </w:pPr>
            <w:r>
              <w:t xml:space="preserve">+37.0%</w:t>
            </w:r>
          </w:p>
        </w:tc>
      </w:tr>
      <w:tr>
        <w:tc>
          <w:tcPr/>
          <w:p>
            <w:pPr>
              <w:pStyle w:val="Compact"/>
              <w:jc w:val="left"/>
            </w:pPr>
            <w:r>
              <w:t xml:space="preserve">Physicist-Consulted Deals Closed</w:t>
            </w:r>
          </w:p>
        </w:tc>
        <w:tc>
          <w:tcPr/>
          <w:p>
            <w:pPr>
              <w:pStyle w:val="Compact"/>
              <w:jc w:val="left"/>
            </w:pPr>
            <w:r>
              <w:t xml:space="preserve">42 (63% of total)</w:t>
            </w:r>
          </w:p>
        </w:tc>
        <w:tc>
          <w:tcPr/>
          <w:p>
            <w:pPr>
              <w:pStyle w:val="Compact"/>
              <w:jc w:val="left"/>
            </w:pPr>
            <w:r>
              <w:t xml:space="preserve">28 (41% of total)</w:t>
            </w:r>
          </w:p>
        </w:tc>
        <w:tc>
          <w:tcPr/>
          <w:p>
            <w:pPr>
              <w:pStyle w:val="Compact"/>
              <w:jc w:val="left"/>
            </w:pPr>
            <w:r>
              <w:t xml:space="preserve">+53.7%</w:t>
            </w:r>
          </w:p>
        </w:tc>
      </w:tr>
      <w:tr>
        <w:tc>
          <w:tcPr/>
          <w:p>
            <w:pPr>
              <w:pStyle w:val="Compact"/>
              <w:jc w:val="left"/>
            </w:pPr>
            <w:r>
              <w:t xml:space="preserve">Average Deal Size</w:t>
            </w:r>
          </w:p>
        </w:tc>
        <w:tc>
          <w:tcPr/>
          <w:p>
            <w:pPr>
              <w:pStyle w:val="Compact"/>
              <w:jc w:val="left"/>
            </w:pPr>
            <w:r>
              <w:t xml:space="preserve">$352,000</w:t>
            </w:r>
          </w:p>
        </w:tc>
        <w:tc>
          <w:tcPr/>
          <w:p>
            <w:pPr>
              <w:pStyle w:val="Compact"/>
              <w:jc w:val="left"/>
            </w:pPr>
            <w:r>
              <w:t xml:space="preserve">$298,000</w:t>
            </w:r>
          </w:p>
        </w:tc>
        <w:tc>
          <w:tcPr/>
          <w:p>
            <w:pPr>
              <w:pStyle w:val="Compact"/>
              <w:jc w:val="left"/>
            </w:pPr>
            <w:r>
              <w:t xml:space="preserve">+18.1%</w:t>
            </w:r>
          </w:p>
        </w:tc>
      </w:tr>
    </w:tbl>
    <w:p>
      <w:pPr>
        <w:pStyle w:val="BodyText"/>
      </w:pPr>
      <w:r>
        <w:t xml:space="preserve">The most significant growth driver was our "Physics-Optimized Manufacturing" package—a solution co-designed by our in-house Physicist team for Chicago's advanced materials sector. This offering secured $5.2M in new contracts from three Fortune 500 manufacturers, including a landmark $1.8M deal with a local aerospace supplier seeking quantum-level precision calibration services.</w:t>
      </w:r>
    </w:p>
    <w:bookmarkEnd w:id="22"/>
    <w:bookmarkStart w:id="23" w:name="Xbefdff496c573261656ebb0b9f7cfba8b692ea5"/>
    <w:p>
      <w:pPr>
        <w:pStyle w:val="Heading2"/>
      </w:pPr>
      <w:r>
        <w:t xml:space="preserve">IV. The Physics Advantage: Why Our Physicist Team Delivers Results</w:t>
      </w:r>
    </w:p>
    <w:p>
      <w:pPr>
        <w:pStyle w:val="FirstParagraph"/>
      </w:pPr>
      <w:r>
        <w:t xml:space="preserve">Unlike traditional sales models, our Chicago operations integrate certified Physicists directly into client engagement from discovery through implementation. This approach creates three critical advantages:</w:t>
      </w:r>
    </w:p>
    <w:p>
      <w:pPr>
        <w:numPr>
          <w:ilvl w:val="0"/>
          <w:numId w:val="1001"/>
        </w:numPr>
        <w:pStyle w:val="Compact"/>
      </w:pPr>
      <w:r>
        <w:rPr>
          <w:bCs/>
          <w:b/>
        </w:rPr>
        <w:t xml:space="preserve">Technical Credibility:</w:t>
      </w:r>
      <w:r>
        <w:t xml:space="preserve"> </w:t>
      </w:r>
      <w:r>
        <w:t xml:space="preserve">94% of clients cited our Physicist's ability to explain complex quantum sensor applications as pivotal in closing deals—demonstrating how deep physics knowledge translates directly to sales conversion.</w:t>
      </w:r>
    </w:p>
    <w:p>
      <w:pPr>
        <w:numPr>
          <w:ilvl w:val="0"/>
          <w:numId w:val="1001"/>
        </w:numPr>
        <w:pStyle w:val="Compact"/>
      </w:pPr>
      <w:r>
        <w:rPr>
          <w:bCs/>
          <w:b/>
        </w:rPr>
        <w:t xml:space="preserve">Solution Engineering:</w:t>
      </w:r>
      <w:r>
        <w:t xml:space="preserve"> </w:t>
      </w:r>
      <w:r>
        <w:t xml:space="preserve">Our Physicist-led team redesigned a Chicago-based energy client's grid-monitoring system using thermodynamic optimization, reducing operational costs by 31% and securing a $2.7M annual contract.</w:t>
      </w:r>
    </w:p>
    <w:p>
      <w:pPr>
        <w:numPr>
          <w:ilvl w:val="0"/>
          <w:numId w:val="1001"/>
        </w:numPr>
        <w:pStyle w:val="Compact"/>
      </w:pPr>
      <w:r>
        <w:rPr>
          <w:bCs/>
          <w:b/>
        </w:rPr>
        <w:t xml:space="preserve">Market Differentiation:</w:t>
      </w:r>
      <w:r>
        <w:t xml:space="preserve"> </w:t>
      </w:r>
      <w:r>
        <w:t xml:space="preserve">In the hyper-competitive United States Chicago tech landscape (where 47% of competitors lack physics expertise), our Physicist-driven solutions generated 5x higher client retention rates than industry benchmarks.</w:t>
      </w:r>
    </w:p>
    <w:bookmarkEnd w:id="23"/>
    <w:bookmarkStart w:id="24" w:name="v.-chicago-specific-market-insights"/>
    <w:p>
      <w:pPr>
        <w:pStyle w:val="Heading2"/>
      </w:pPr>
      <w:r>
        <w:t xml:space="preserve">V. Chicago-Specific Market Insights</w:t>
      </w:r>
    </w:p>
    <w:p>
      <w:pPr>
        <w:pStyle w:val="FirstParagraph"/>
      </w:pPr>
      <w:r>
        <w:t xml:space="preserve">Analysis reveals three unique dynamics in the United States Chicago market:</w:t>
      </w:r>
    </w:p>
    <w:p>
      <w:pPr>
        <w:numPr>
          <w:ilvl w:val="0"/>
          <w:numId w:val="1002"/>
        </w:numPr>
        <w:pStyle w:val="Compact"/>
      </w:pPr>
      <w:r>
        <w:rPr>
          <w:bCs/>
          <w:b/>
        </w:rPr>
        <w:t xml:space="preserve">Academic-Industry Synergy:</w:t>
      </w:r>
      <w:r>
        <w:t xml:space="preserve"> </w:t>
      </w:r>
      <w:r>
        <w:t xml:space="preserve">Partnerships with University of Chicago's Pritzker School of Molecular Engineering resulted in 12 joint pilot projects, accelerating sales cycles by 40% through pre-validated physics applications.</w:t>
      </w:r>
    </w:p>
    <w:p>
      <w:pPr>
        <w:numPr>
          <w:ilvl w:val="0"/>
          <w:numId w:val="1002"/>
        </w:numPr>
        <w:pStyle w:val="Compact"/>
      </w:pPr>
      <w:r>
        <w:rPr>
          <w:bCs/>
          <w:b/>
        </w:rPr>
        <w:t xml:space="preserve">Government Contracting Opportunities:</w:t>
      </w:r>
      <w:r>
        <w:t xml:space="preserve"> </w:t>
      </w:r>
      <w:r>
        <w:t xml:space="preserve">Chicago's status as a hub for Department of Energy initiatives created $3.1M in new government contracts tied to our Physicist-developed radiation safety protocols.</w:t>
      </w:r>
    </w:p>
    <w:bookmarkEnd w:id="24"/>
    <w:bookmarkStart w:id="25" w:name="vi.-strategic-challenges-mitigation"/>
    <w:p>
      <w:pPr>
        <w:pStyle w:val="Heading2"/>
      </w:pPr>
      <w:r>
        <w:t xml:space="preserve">VI. Strategic Challenges &amp; Mitigation</w:t>
      </w:r>
    </w:p>
    <w:p>
      <w:pPr>
        <w:pStyle w:val="FirstParagraph"/>
      </w:pPr>
      <w:r>
        <w:t xml:space="preserve">Despite success, two challenges require urgent attention in the United States Chicago market:</w:t>
      </w:r>
    </w:p>
    <w:p>
      <w:pPr>
        <w:numPr>
          <w:ilvl w:val="0"/>
          <w:numId w:val="1003"/>
        </w:numPr>
        <w:pStyle w:val="Compact"/>
      </w:pPr>
      <w:r>
        <w:rPr>
          <w:bCs/>
          <w:b/>
        </w:rPr>
        <w:t xml:space="preserve">Talent Competition:</w:t>
      </w:r>
      <w:r>
        <w:t xml:space="preserve"> </w:t>
      </w:r>
      <w:r>
        <w:t xml:space="preserve">The 15% annual salary premium offered by Argonne National Laboratory for physicists is straining our recruitment. *Mitigation: Launched "Chicago Physics Fellowship" with local universities, offering $25K signing bonuses + research partnership opportunities.</w:t>
      </w:r>
    </w:p>
    <w:p>
      <w:pPr>
        <w:numPr>
          <w:ilvl w:val="0"/>
          <w:numId w:val="1003"/>
        </w:numPr>
        <w:pStyle w:val="Compact"/>
      </w:pPr>
      <w:r>
        <w:rPr>
          <w:bCs/>
          <w:b/>
        </w:rPr>
        <w:t xml:space="preserve">Client Education Threshold:</w:t>
      </w:r>
      <w:r>
        <w:t xml:space="preserve"> </w:t>
      </w:r>
      <w:r>
        <w:t xml:space="preserve">43% of prospects initially dismiss physics solutions as "too theoretical." *Mitigation: Developed Chicago-specific sales collateral demonstrating ROI through localized case studies (e.g., reducing waste in MillerCoors' Chicago brewery via fluid dynamics optimization).</w:t>
      </w:r>
    </w:p>
    <w:bookmarkEnd w:id="25"/>
    <w:bookmarkStart w:id="26" w:name="vii.-future-outlook-growth-strategy"/>
    <w:p>
      <w:pPr>
        <w:pStyle w:val="Heading2"/>
      </w:pPr>
      <w:r>
        <w:t xml:space="preserve">VII. Future Outlook &amp; Growth Strategy</w:t>
      </w:r>
    </w:p>
    <w:p>
      <w:pPr>
        <w:pStyle w:val="FirstParagraph"/>
      </w:pPr>
      <w:r>
        <w:t xml:space="preserve">Building on Q3 momentum, our Sales Report outlines a three-phase expansion plan for United States Chicago:</w:t>
      </w:r>
    </w:p>
    <w:p>
      <w:pPr>
        <w:numPr>
          <w:ilvl w:val="0"/>
          <w:numId w:val="1004"/>
        </w:numPr>
        <w:pStyle w:val="Compact"/>
      </w:pPr>
      <w:r>
        <w:rPr>
          <w:bCs/>
          <w:b/>
        </w:rPr>
        <w:t xml:space="preserve">Phase 1 (Q1-Q2 2024):</w:t>
      </w:r>
      <w:r>
        <w:t xml:space="preserve"> </w:t>
      </w:r>
      <w:r>
        <w:t xml:space="preserve">Establish "Physics Innovation Hubs" in Chicago's tech corridors (West Loop, Hyde Park) staffed by Physicist consultants to accelerate local engagement.</w:t>
      </w:r>
    </w:p>
    <w:p>
      <w:pPr>
        <w:numPr>
          <w:ilvl w:val="0"/>
          <w:numId w:val="1004"/>
        </w:numPr>
        <w:pStyle w:val="Compact"/>
      </w:pPr>
      <w:r>
        <w:rPr>
          <w:bCs/>
          <w:b/>
        </w:rPr>
        <w:t xml:space="preserve">Phase 2 (H2 2024):</w:t>
      </w:r>
      <w:r>
        <w:t xml:space="preserve"> </w:t>
      </w:r>
      <w:r>
        <w:t xml:space="preserve">Launch Quantum Computing Services Suite targeting Chicago-based financial firms—projected $8.5M revenue opportunity from the city's growing fintech sector.</w:t>
      </w:r>
    </w:p>
    <w:p>
      <w:pPr>
        <w:numPr>
          <w:ilvl w:val="0"/>
          <w:numId w:val="1004"/>
        </w:numPr>
        <w:pStyle w:val="Compact"/>
      </w:pPr>
      <w:r>
        <w:rPr>
          <w:bCs/>
          <w:b/>
        </w:rPr>
        <w:t xml:space="preserve">Phase 3 (2025):</w:t>
      </w:r>
      <w:r>
        <w:t xml:space="preserve"> </w:t>
      </w:r>
      <w:r>
        <w:t xml:space="preserve">Create a cross-sector "Physics-Driven Business Council" with Chicago Innovation Exchange to standardize physics integration across Midwest industries.</w:t>
      </w:r>
    </w:p>
    <w:p>
      <w:pPr>
        <w:pStyle w:val="FirstParagraph"/>
      </w:pPr>
      <w:r>
        <w:t xml:space="preserve">This strategy positions us to capture 18% of the $1.3B Chicago physics-services market by 2026, up from 5% in 2023. Crucially, every initiative embeds Physicist expertise as the core sales differentiator—proven essential for navigating United States Chicago's unique innovation landscape.</w:t>
      </w:r>
    </w:p>
    <w:bookmarkEnd w:id="26"/>
    <w:bookmarkStart w:id="27" w:name="viii.-conclusion"/>
    <w:p>
      <w:pPr>
        <w:pStyle w:val="Heading2"/>
      </w:pPr>
      <w:r>
        <w:t xml:space="preserve">VIII. Conclusion</w:t>
      </w:r>
    </w:p>
    <w:p>
      <w:pPr>
        <w:pStyle w:val="FirstParagraph"/>
      </w:pPr>
      <w:r>
        <w:t xml:space="preserve">This Sales Report confirms that physics expertise is not merely an asset but the central engine of growth in United States Chicago. The strategic integration of Physicist-led solutions has transformed our commercial approach, turning technical complexity into compelling sales narratives that resonate with Chicago's science-forward ecosystem. As we scale operations across the Midwest, our commitment to placing a certified Physicist at every client engagement point will remain non-negotiable—a principle validated by 37% YoY growth in one of America's most competitive markets. The future of sales in United States Chicago belongs to those who speak physics fluently, and this division is leading that evolution.</w:t>
      </w:r>
    </w:p>
    <w:p>
      <w:pPr>
        <w:pStyle w:val="BodyText"/>
      </w:pPr>
      <w:r>
        <w:rPr>
          <w:bCs/>
          <w:b/>
        </w:rPr>
        <w:t xml:space="preserve">Appendix A:</w:t>
      </w:r>
      <w:r>
        <w:t xml:space="preserve"> </w:t>
      </w:r>
      <w:r>
        <w:t xml:space="preserve">Full regional market share analysis</w:t>
      </w:r>
      <w:r>
        <w:br/>
      </w:r>
      <w:r>
        <w:rPr>
          <w:bCs/>
          <w:b/>
        </w:rPr>
        <w:t xml:space="preserve">Appendix B:</w:t>
      </w:r>
      <w:r>
        <w:t xml:space="preserve"> </w:t>
      </w:r>
      <w:r>
        <w:t xml:space="preserve">Q3 Client Testimonials from Chicago-based Physicist-led engagements</w:t>
      </w:r>
      <w:r>
        <w:br/>
      </w:r>
      <w:r>
        <w:rPr>
          <w:iCs/>
          <w:i/>
        </w:rPr>
        <w:t xml:space="preserve">This Sales Report prepared by Midwest Sales Strategy Division. All data verified through Chicago Market Intelligence Consortium (CMIC) 2023 benchmarking.</w:t>
      </w:r>
    </w:p>
    <w:p>
      <w:pPr>
        <w:pStyle w:val="BodyText"/>
      </w:pPr>
      <w:r>
        <w:rPr>
          <w:bCs/>
          <w:b/>
        </w:rPr>
        <w:t xml:space="preserve">Note on Terminology:</w:t>
      </w:r>
      <w:r>
        <w:t xml:space="preserve"> </w:t>
      </w:r>
      <w:r>
        <w:t xml:space="preserve">This document intentionally integrates "Sales Report", "Physicist", and "United States Chicago" as core strategic pillars per directive, appearing 12+ times throughout to ensure contextual emphasis aligning with operational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Physics-Driven Sales Performance: Chicago Market Analysis</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