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r>
        <w:t xml:space="preserve"> </w:t>
      </w:r>
      <w:r>
        <w:t xml:space="preserve">Analysis</w:t>
      </w:r>
    </w:p>
    <w:bookmarkStart w:id="28" w:name="Xb92c94a18e988233f0beae7feae7b0fd97e9732"/>
    <w:p>
      <w:pPr>
        <w:pStyle w:val="Heading1"/>
      </w:pPr>
      <w:r>
        <w:t xml:space="preserve">Comprehensive Sales Report: Physicist-Driven Innovation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Los Angeles Operations</w:t>
      </w:r>
      <w:r>
        <w:br/>
      </w:r>
      <w:r>
        <w:rPr>
          <w:bCs/>
          <w:b/>
        </w:rPr>
        <w:t xml:space="preserve">Report Type:</w:t>
      </w:r>
      <w:r>
        <w:t xml:space="preserve"> </w:t>
      </w:r>
      <w:r>
        <w:t xml:space="preserve">Quarterly Sales Analysis with Physicist Integration Strategy</w:t>
      </w:r>
    </w:p>
    <w:bookmarkStart w:id="20" w:name="i.-executive-summary"/>
    <w:p>
      <w:pPr>
        <w:pStyle w:val="Heading2"/>
      </w:pPr>
      <w:r>
        <w:t xml:space="preserve">I. Executive Summary</w:t>
      </w:r>
    </w:p>
    <w:p>
      <w:pPr>
        <w:pStyle w:val="FirstParagraph"/>
      </w:pPr>
      <w:r>
        <w:t xml:space="preserve">This Sales Report details the strategic impact of physicist-led innovation on revenue growth within the United States Los Angeles market. Contrary to traditional sales metrics, our analysis reveals that physicist-driven R&amp;D initiatives have directly contributed to a 34% increase in high-margin contracts over the past fiscal quarter. The unique convergence of physics expertise with Los Angeles' tech ecosystem has positioned us as a market leader in quantum computing applications and advanced materials solutions. This report confirms that integrating</w:t>
      </w:r>
      <w:r>
        <w:t xml:space="preserve"> </w:t>
      </w:r>
      <w:r>
        <w:rPr>
          <w:bCs/>
          <w:b/>
        </w:rPr>
        <w:t xml:space="preserve">Physicist</w:t>
      </w:r>
      <w:r>
        <w:t xml:space="preserve"> </w:t>
      </w:r>
      <w:r>
        <w:t xml:space="preserve">talent into sales strategy is not merely beneficial—it's essential for sustained growth in Southern California's competitive landscape.</w:t>
      </w:r>
    </w:p>
    <w:bookmarkEnd w:id="20"/>
    <w:bookmarkStart w:id="21" w:name="Xdc4a35327b56c6a08680cfaecd9127f5385473f"/>
    <w:p>
      <w:pPr>
        <w:pStyle w:val="Heading2"/>
      </w:pPr>
      <w:r>
        <w:t xml:space="preserve">II. Market Context: Los Angeles as Innovation Hub</w:t>
      </w:r>
    </w:p>
    <w:p>
      <w:pPr>
        <w:pStyle w:val="FirstParagraph"/>
      </w:pPr>
      <w:r>
        <w:t xml:space="preserve">The United States Los Angeles market has emerged as a critical battleground for technology-driven sales, with 47% of Fortune 500 tech companies maintaining R&amp;D facilities in the region. Our analysis of the Los Angeles market indicates that businesses leveraging physicist talent achieve 2.3x higher average deal sizes compared to competitors relying on conventional engineering teams. This advantage stems from Los Angeles' unique ecosystem: proximity to NASA's Jet Propulsion Laboratory, USC's Quantum Engineering Program, and a concentration of aerospace startups in Playa Vista. The</w:t>
      </w:r>
      <w:r>
        <w:t xml:space="preserve"> </w:t>
      </w:r>
      <w:r>
        <w:rPr>
          <w:bCs/>
          <w:b/>
        </w:rPr>
        <w:t xml:space="preserve">Physicist</w:t>
      </w:r>
      <w:r>
        <w:t xml:space="preserve"> </w:t>
      </w:r>
      <w:r>
        <w:t xml:space="preserve">role has evolved beyond research into a direct revenue catalyst—particularly in the $12B Los Angeles tech sector where quantum solutions now command 38% market share.</w:t>
      </w:r>
    </w:p>
    <w:bookmarkEnd w:id="21"/>
    <w:bookmarkStart w:id="22" w:name="X189205ab8ce1bbf2ce768127d1395ecf58babe1"/>
    <w:p>
      <w:pPr>
        <w:pStyle w:val="Heading2"/>
      </w:pPr>
      <w:r>
        <w:t xml:space="preserve">III. Sales Performance: Physicist Impact Analysis</w:t>
      </w:r>
    </w:p>
    <w:p>
      <w:pPr>
        <w:pStyle w:val="FirstParagraph"/>
      </w:pPr>
      <w:r>
        <w:t xml:space="preserve">Sales Metric</w:t>
      </w:r>
    </w:p>
    <w:p>
      <w:pPr>
        <w:pStyle w:val="BodyText"/>
      </w:pPr>
      <w:r>
        <w:t xml:space="preserve">Q3 2023 (Physicist-Integrated)</w:t>
      </w:r>
    </w:p>
    <w:p>
      <w:pPr>
        <w:pStyle w:val="BodyText"/>
      </w:pPr>
      <w:r>
        <w:t xml:space="preserve">Q2 2023 (Baseline)</w:t>
      </w:r>
    </w:p>
    <w:p>
      <w:pPr>
        <w:pStyle w:val="BodyText"/>
      </w:pPr>
      <w:r>
        <w:t xml:space="preserve">% Change</w:t>
      </w:r>
    </w:p>
    <w:p>
      <w:pPr>
        <w:pStyle w:val="BodyText"/>
      </w:pPr>
      <w:r>
        <w:t xml:space="preserve">Deal Velocity</w:t>
      </w:r>
    </w:p>
    <w:p>
      <w:pPr>
        <w:pStyle w:val="BodyText"/>
      </w:pPr>
      <w:r>
        <w:t xml:space="preserve">48 days</w:t>
      </w:r>
    </w:p>
    <w:p>
      <w:pPr>
        <w:pStyle w:val="BodyText"/>
      </w:pPr>
      <w:r>
        <w:t xml:space="preserve">67 days</w:t>
      </w:r>
    </w:p>
    <w:p>
      <w:pPr>
        <w:pStyle w:val="BodyText"/>
      </w:pPr>
      <w:r>
        <w:t xml:space="preserve">+31.3%</w:t>
      </w:r>
    </w:p>
    <w:p>
      <w:pPr>
        <w:pStyle w:val="BodyText"/>
      </w:pPr>
      <w:r>
        <w:t xml:space="preserve">Average Contract Value (ACV)</w:t>
      </w:r>
    </w:p>
    <w:p>
      <w:pPr>
        <w:pStyle w:val="BodyText"/>
      </w:pPr>
      <w:r>
        <w:t xml:space="preserve">$287K</w:t>
      </w:r>
    </w:p>
    <w:p>
      <w:pPr>
        <w:pStyle w:val="BodyText"/>
      </w:pPr>
      <w:r>
        <w:t xml:space="preserve">&lt;</w:t>
      </w:r>
    </w:p>
    <w:p>
      <w:pPr>
        <w:pStyle w:val="BodyText"/>
      </w:pPr>
      <w:r>
        <w:t xml:space="preserve">$195K</w:t>
      </w:r>
    </w:p>
    <w:p>
      <w:pPr>
        <w:pStyle w:val="BodyText"/>
      </w:pPr>
      <w:r>
        <w:t xml:space="preserve">Client Retention Rate</w:t>
      </w:r>
    </w:p>
    <w:p>
      <w:pPr>
        <w:pStyle w:val="BodyText"/>
      </w:pPr>
      <w:r>
        <w:t xml:space="preserve">92%</w:t>
      </w:r>
    </w:p>
    <w:p>
      <w:pPr>
        <w:pStyle w:val="BodyText"/>
      </w:pPr>
      <w:r>
        <w:t xml:space="preserve">76%</w:t>
      </w:r>
    </w:p>
    <w:p>
      <w:pPr>
        <w:pStyle w:val="BodyText"/>
      </w:pPr>
      <w:r>
        <w:t xml:space="preserve">Quantum Solution Revenue Share</w:t>
      </w:r>
    </w:p>
    <w:p>
      <w:pPr>
        <w:pStyle w:val="BodyText"/>
      </w:pPr>
      <w:r>
        <w:t xml:space="preserve">63%</w:t>
      </w:r>
    </w:p>
    <w:p>
      <w:pPr>
        <w:pStyle w:val="BodyText"/>
      </w:pPr>
      <w:r>
        <w:t xml:space="preserve">41%</w:t>
      </w:r>
    </w:p>
    <w:p>
      <w:pPr>
        <w:pStyle w:val="BodyText"/>
      </w:pPr>
      <w:r>
        <w:t xml:space="preserve">The data demonstrates that</w:t>
      </w:r>
      <w:r>
        <w:t xml:space="preserve"> </w:t>
      </w:r>
      <w:r>
        <w:rPr>
          <w:bCs/>
          <w:b/>
        </w:rPr>
        <w:t xml:space="preserve">Sales Report</w:t>
      </w:r>
      <w:r>
        <w:t xml:space="preserve"> </w:t>
      </w:r>
      <w:r>
        <w:t xml:space="preserve">metrics correlate directly with physicist involvement. In Los Angeles, our quantum sensor contracts—designed by in-house physicists—account for 78% of the $5.2M quarter revenue, far exceeding projections. Notably, 89% of new clients cited "physics-led technical validation" as the decisive factor in purchase decisions during United States Los Angeles market engagements.</w:t>
      </w:r>
    </w:p>
    <w:bookmarkEnd w:id="22"/>
    <w:bookmarkStart w:id="23" w:name="iv.-los-angeles-specific-sales-drivers"/>
    <w:p>
      <w:pPr>
        <w:pStyle w:val="Heading2"/>
      </w:pPr>
      <w:r>
        <w:t xml:space="preserve">IV. Los Angeles-Specific Sales Drivers</w:t>
      </w:r>
    </w:p>
    <w:p>
      <w:pPr>
        <w:pStyle w:val="FirstParagraph"/>
      </w:pPr>
      <w:r>
        <w:t xml:space="preserve">Three LA-specific factors drive physicist-boosted sales performance:</w:t>
      </w:r>
    </w:p>
    <w:p>
      <w:pPr>
        <w:numPr>
          <w:ilvl w:val="0"/>
          <w:numId w:val="1001"/>
        </w:numPr>
        <w:pStyle w:val="Compact"/>
      </w:pPr>
      <w:r>
        <w:rPr>
          <w:bCs/>
          <w:b/>
        </w:rPr>
        <w:t xml:space="preserve">Government Contract Synergy:</w:t>
      </w:r>
      <w:r>
        <w:t xml:space="preserve"> </w:t>
      </w:r>
      <w:r>
        <w:t xml:space="preserve">Physicists at our Los Angeles facility secured $1.8M in NASA JPL subcontracting by demonstrating quantum navigation physics that outperformed industry benchmarks by 220%. This directly fueled 15% of total Q3 revenue.</w:t>
      </w:r>
    </w:p>
    <w:p>
      <w:pPr>
        <w:numPr>
          <w:ilvl w:val="0"/>
          <w:numId w:val="1001"/>
        </w:numPr>
        <w:pStyle w:val="Compact"/>
      </w:pPr>
      <w:r>
        <w:rPr>
          <w:bCs/>
          <w:b/>
        </w:rPr>
        <w:t xml:space="preserve">Industry Partnerships:</w:t>
      </w:r>
      <w:r>
        <w:t xml:space="preserve"> </w:t>
      </w:r>
      <w:r>
        <w:t xml:space="preserve">Collaboration with USC's Physics Department enabled us to co-develop a photonic computing demo, resulting in three enterprise sales (including a $475K deal with LA-based aerospace firm AeroDynamics) that closed within 3 weeks of the proof-of-concept.</w:t>
      </w:r>
    </w:p>
    <w:p>
      <w:pPr>
        <w:numPr>
          <w:ilvl w:val="0"/>
          <w:numId w:val="1001"/>
        </w:numPr>
        <w:pStyle w:val="Compact"/>
      </w:pPr>
      <w:r>
        <w:rPr>
          <w:bCs/>
          <w:b/>
        </w:rPr>
        <w:t xml:space="preserve">Local Talent Density:</w:t>
      </w:r>
      <w:r>
        <w:t xml:space="preserve"> </w:t>
      </w:r>
      <w:r>
        <w:t xml:space="preserve">Los Angeles' physicist talent pool (23% growth since 2021) allows us to deploy specialized sales engineers for client technical deep-dives, converting 68% of high-value leads versus 39% industry average.</w:t>
      </w:r>
    </w:p>
    <w:bookmarkEnd w:id="23"/>
    <w:bookmarkStart w:id="24" w:name="X2554b1807dc1172d92ff30d934320502b020b89"/>
    <w:p>
      <w:pPr>
        <w:pStyle w:val="Heading2"/>
      </w:pPr>
      <w:r>
        <w:t xml:space="preserve">V. Challenges in United States Los Angeles Market</w:t>
      </w:r>
    </w:p>
    <w:p>
      <w:pPr>
        <w:pStyle w:val="FirstParagraph"/>
      </w:pPr>
      <w:r>
        <w:t xml:space="preserve">Despite strong performance, two LA-specific hurdles require strategic adjustment:</w:t>
      </w:r>
    </w:p>
    <w:p>
      <w:pPr>
        <w:numPr>
          <w:ilvl w:val="0"/>
          <w:numId w:val="1002"/>
        </w:numPr>
        <w:pStyle w:val="Compact"/>
      </w:pPr>
      <w:r>
        <w:rPr>
          <w:bCs/>
          <w:b/>
        </w:rPr>
        <w:t xml:space="preserve">Talent Competition:</w:t>
      </w:r>
      <w:r>
        <w:t xml:space="preserve"> </w:t>
      </w:r>
      <w:r>
        <w:t xml:space="preserve">Top physicists are increasingly recruited by SpaceX (30% of our 2023 candidate pool) and local biotech firms. Our current LA physicist retention rate (84%) lags behind industry leaders (91%), risking sales pipeline instability.</w:t>
      </w:r>
    </w:p>
    <w:p>
      <w:pPr>
        <w:numPr>
          <w:ilvl w:val="0"/>
          <w:numId w:val="1002"/>
        </w:numPr>
        <w:pStyle w:val="Compact"/>
      </w:pPr>
      <w:r>
        <w:rPr>
          <w:bCs/>
          <w:b/>
        </w:rPr>
        <w:t xml:space="preserve">Client Education Barriers:</w:t>
      </w:r>
      <w:r>
        <w:t xml:space="preserve"> </w:t>
      </w:r>
      <w:r>
        <w:t xml:space="preserve">57% of Los Angeles enterprises struggle to comprehend physics-driven solutions, requiring customized demonstrations that consume 32% more sales effort than standard products.</w:t>
      </w:r>
    </w:p>
    <w:p>
      <w:pPr>
        <w:pStyle w:val="FirstParagraph"/>
      </w:pPr>
      <w:r>
        <w:t xml:space="preserve">This necessitates immediate action in our Sales Report strategy: developing physicist-certified client education frameworks specific to Los Angeles industry verticals (aerospace, entertainment tech, healthcare).</w:t>
      </w:r>
    </w:p>
    <w:bookmarkEnd w:id="24"/>
    <w:bookmarkStart w:id="25" w:name="vi.-strategic-recommendations"/>
    <w:p>
      <w:pPr>
        <w:pStyle w:val="Heading2"/>
      </w:pPr>
      <w:r>
        <w:t xml:space="preserve">VI. Strategic Recommendations</w:t>
      </w:r>
    </w:p>
    <w:p>
      <w:pPr>
        <w:pStyle w:val="FirstParagraph"/>
      </w:pPr>
      <w:r>
        <w:t xml:space="preserve">Based on this Sales Report analysis, we propose three physicist-centric initiatives for United States Los Angeles operations:</w:t>
      </w:r>
    </w:p>
    <w:p>
      <w:pPr>
        <w:numPr>
          <w:ilvl w:val="0"/>
          <w:numId w:val="1003"/>
        </w:numPr>
        <w:pStyle w:val="Compact"/>
      </w:pPr>
      <w:r>
        <w:rPr>
          <w:bCs/>
          <w:b/>
        </w:rPr>
        <w:t xml:space="preserve">Physicist Sales Fellowship Program:</w:t>
      </w:r>
      <w:r>
        <w:t xml:space="preserve"> </w:t>
      </w:r>
      <w:r>
        <w:t xml:space="preserve">Co-develop technical sales training with UCLA Physics Department to accelerate client education. Projected ROI: 210% by Q2 2024 through reduced demo cycles.</w:t>
      </w:r>
    </w:p>
    <w:p>
      <w:pPr>
        <w:numPr>
          <w:ilvl w:val="0"/>
          <w:numId w:val="1003"/>
        </w:numPr>
        <w:pStyle w:val="Compact"/>
      </w:pPr>
      <w:r>
        <w:rPr>
          <w:bCs/>
          <w:b/>
        </w:rPr>
        <w:t xml:space="preserve">Los Angeles Quantum Innovation Hub:</w:t>
      </w:r>
      <w:r>
        <w:t xml:space="preserve"> </w:t>
      </w:r>
      <w:r>
        <w:t xml:space="preserve">Establish a physical R&amp;D/sales co-location in Santa Monica to showcase physicist-engineered solutions. Expected outcome: 30% increase in enterprise deals from LA-based Fortune 500 companies.</w:t>
      </w:r>
    </w:p>
    <w:p>
      <w:pPr>
        <w:numPr>
          <w:ilvl w:val="0"/>
          <w:numId w:val="1003"/>
        </w:numPr>
        <w:pStyle w:val="Compact"/>
      </w:pPr>
      <w:r>
        <w:rPr>
          <w:bCs/>
          <w:b/>
        </w:rPr>
        <w:t xml:space="preserve">Physicist-Driven Pricing Model:</w:t>
      </w:r>
      <w:r>
        <w:t xml:space="preserve"> </w:t>
      </w:r>
      <w:r>
        <w:t xml:space="preserve">Implement value-based pricing for physics innovations (e.g., quantum sensors priced by accuracy gains). Pilot results show 27% higher margin versus traditional cost-plus models in Los Angeles.</w:t>
      </w:r>
    </w:p>
    <w:bookmarkEnd w:id="25"/>
    <w:bookmarkStart w:id="27" w:name="vii.-conclusion"/>
    <w:p>
      <w:pPr>
        <w:pStyle w:val="Heading2"/>
      </w:pPr>
      <w:r>
        <w:t xml:space="preserve">VII. Conclusion</w:t>
      </w:r>
    </w:p>
    <w:p>
      <w:pPr>
        <w:pStyle w:val="FirstParagraph"/>
      </w:pPr>
      <w:r>
        <w:t xml:space="preserve">The data unequivocally proves that the</w:t>
      </w:r>
      <w:r>
        <w:t xml:space="preserve"> </w:t>
      </w:r>
      <w:r>
        <w:rPr>
          <w:bCs/>
          <w:b/>
        </w:rPr>
        <w:t xml:space="preserve">Physicist</w:t>
      </w:r>
      <w:r>
        <w:t xml:space="preserve"> </w:t>
      </w:r>
      <w:r>
        <w:t xml:space="preserve">is not a support function but the core engine of our sales success in United States Los Angeles. As this Sales Report demonstrates, integrating physicist expertise into every stage of the sales cycle— from prospecting to post-sale support—directly correlates with market leadership in Southern California's tech economy. With Los Angeles poised to become the nation's top hub for quantum technology by 2025 (per LA Chamber of Commerce forecasts), our physicist-focused strategy will be non-negotiable for capturing $38B in anticipated quantum market revenue.</w:t>
      </w:r>
    </w:p>
    <w:p>
      <w:pPr>
        <w:pStyle w:val="BodyText"/>
      </w:pPr>
      <w:r>
        <w:t xml:space="preserve">Without strategic investment in</w:t>
      </w:r>
      <w:r>
        <w:t xml:space="preserve"> </w:t>
      </w:r>
      <w:r>
        <w:rPr>
          <w:bCs/>
          <w:b/>
        </w:rPr>
        <w:t xml:space="preserve">Physicist</w:t>
      </w:r>
      <w:r>
        <w:t xml:space="preserve"> </w:t>
      </w:r>
      <w:r>
        <w:t xml:space="preserve">talent development and physicist-driven sales methodology, we risk losing competitive positioning to firms that understand Los Angeles' physics-powered market dynamics. The numbers are clear: In United States Los Angeles, the future of sales belongs to those who harness the power of physics.</w:t>
      </w:r>
    </w:p>
    <w:p>
      <w:pPr>
        <w:pStyle w:val="BodyText"/>
      </w:pPr>
      <w:r>
        <w:rPr>
          <w:iCs/>
          <w:i/>
        </w:rPr>
        <w:t xml:space="preserve">"The most advanced solutions require physicists not just in labs—but at the sales table." — Dr. Elena Rodriguez, Head of Physics Innovation, Los Angeles Division</w:t>
      </w:r>
    </w:p>
    <w:bookmarkStart w:id="26" w:name="appendix-key-la-market-data-sources"/>
    <w:p>
      <w:pPr>
        <w:pStyle w:val="Heading3"/>
      </w:pPr>
      <w:r>
        <w:t xml:space="preserve">Appendix: Key LA Market Data Sources</w:t>
      </w:r>
    </w:p>
    <w:p>
      <w:pPr>
        <w:numPr>
          <w:ilvl w:val="0"/>
          <w:numId w:val="1004"/>
        </w:numPr>
        <w:pStyle w:val="Compact"/>
      </w:pPr>
      <w:r>
        <w:t xml:space="preserve">Los Angeles Economic Development Corporation (LAEDC) Tech Sector Report 2023</w:t>
      </w:r>
    </w:p>
    <w:p>
      <w:pPr>
        <w:numPr>
          <w:ilvl w:val="0"/>
          <w:numId w:val="1004"/>
        </w:numPr>
        <w:pStyle w:val="Compact"/>
      </w:pPr>
      <w:r>
        <w:t xml:space="preserve">NASA JPL Quantum Technology Contract Database</w:t>
      </w:r>
    </w:p>
    <w:p>
      <w:pPr>
        <w:numPr>
          <w:ilvl w:val="0"/>
          <w:numId w:val="1004"/>
        </w:numPr>
        <w:pStyle w:val="Compact"/>
      </w:pPr>
      <w:r>
        <w:t xml:space="preserve">USC Viterbi School of Engineering Physics Talent Study (Q1 2023)</w:t>
      </w:r>
    </w:p>
    <w:p>
      <w:pPr>
        <w:pStyle w:val="FirstParagraph"/>
      </w:pPr>
      <w:r>
        <w:rPr>
          <w:bCs/>
          <w:b/>
        </w:rPr>
        <w:t xml:space="preserve">Report Word Count:</w:t>
      </w:r>
      <w:r>
        <w:t xml:space="preserve"> </w:t>
      </w:r>
      <w:r>
        <w:t xml:space="preserve">857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United States Los Angeles Market Analysis</dc:title>
  <dc:creator/>
  <dc:language>en</dc:language>
  <cp:keywords/>
  <dcterms:created xsi:type="dcterms:W3CDTF">2026-07-21T04:07:49Z</dcterms:created>
  <dcterms:modified xsi:type="dcterms:W3CDTF">2026-07-21T04:07:49Z</dcterms:modified>
</cp:coreProperties>
</file>

<file path=docProps/custom.xml><?xml version="1.0" encoding="utf-8"?>
<Properties xmlns="http://schemas.openxmlformats.org/officeDocument/2006/custom-properties" xmlns:vt="http://schemas.openxmlformats.org/officeDocument/2006/docPropsVTypes"/>
</file>