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Talent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5aafad307e2f16f3f8c17773262d3424393c313"/>
    <w:p>
      <w:pPr>
        <w:pStyle w:val="Heading1"/>
      </w:pPr>
      <w:r>
        <w:t xml:space="preserve">Quarterly Sales Report: Physics Talent Acquisition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Solutions Inc.</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specialized physics recruitment division within the United States New York City market. As a leading talent acquisition firm focused exclusively on scientific professionals, we have witnessed unprecedented demand for qualified Physicists across NYC's academic, industrial, and governmental sectors. The Q3 2023 period marked a 32% year-over-year increase in placement volume with an average retention rate of 91% after six months. This growth solidifies our position as the premier provider of Physics talent solutions in United States New York City's competitive ecosystem. Our strategic focus on niche physics sub-disciplines has driven exceptional client satisfaction metrics, with 94% of placements receiving "exceeds expectations" performance evaluations.</w:t>
      </w:r>
    </w:p>
    <w:bookmarkEnd w:id="20"/>
    <w:bookmarkStart w:id="21" w:name="X1c4274867cf568b19584c6134897d21586ac5a0"/>
    <w:p>
      <w:pPr>
        <w:pStyle w:val="Heading2"/>
      </w:pPr>
      <w:r>
        <w:t xml:space="preserve">II. Market Analysis: Demand for Physicists in New York City</w:t>
      </w:r>
    </w:p>
    <w:p>
      <w:pPr>
        <w:pStyle w:val="FirstParagraph"/>
      </w:pPr>
      <w:r>
        <w:t xml:space="preserve">The United States New York City landscape for Physics professionals is experiencing transformative growth fueled by three converging forces:</w:t>
      </w:r>
    </w:p>
    <w:p>
      <w:pPr>
        <w:numPr>
          <w:ilvl w:val="0"/>
          <w:numId w:val="1001"/>
        </w:numPr>
        <w:pStyle w:val="Compact"/>
      </w:pPr>
      <w:r>
        <w:rPr>
          <w:bCs/>
          <w:b/>
        </w:rPr>
        <w:t xml:space="preserve">Quantum Computing Expansion:</w:t>
      </w:r>
      <w:r>
        <w:t xml:space="preserve"> </w:t>
      </w:r>
      <w:r>
        <w:t xml:space="preserve">IBM Quantum, ColdQuanta, and NYU's Quantum Initiative have collectively added 147 new physicist roles since Q1 2023.</w:t>
      </w:r>
    </w:p>
    <w:p>
      <w:pPr>
        <w:numPr>
          <w:ilvl w:val="0"/>
          <w:numId w:val="1001"/>
        </w:numPr>
        <w:pStyle w:val="Compact"/>
      </w:pPr>
      <w:r>
        <w:rPr>
          <w:bCs/>
          <w:b/>
        </w:rPr>
        <w:t xml:space="preserve">Clean Energy Acceleration:</w:t>
      </w:r>
      <w:r>
        <w:t xml:space="preserve"> </w:t>
      </w:r>
      <w:r>
        <w:t xml:space="preserve">NYC's mandate for carbon neutrality by 2050 has spurred demand from companies like Enel Green Power and Con Edison for physicists specializing in fusion energy and grid optimization.</w:t>
      </w:r>
    </w:p>
    <w:p>
      <w:pPr>
        <w:numPr>
          <w:ilvl w:val="0"/>
          <w:numId w:val="1001"/>
        </w:numPr>
        <w:pStyle w:val="Compact"/>
      </w:pPr>
      <w:r>
        <w:rPr>
          <w:bCs/>
          <w:b/>
        </w:rPr>
        <w:t xml:space="preserve">Biomedical Physics Surge:</w:t>
      </w:r>
      <w:r>
        <w:t xml:space="preserve"> </w:t>
      </w:r>
      <w:r>
        <w:t xml:space="preserve">Hospitals (NYU Langone, Memorial Sloan Kettering) and medtech firms (Intuitive Surgical, Bruker) seek physicists for MRI innovation and radiation therapy advancements.</w:t>
      </w:r>
    </w:p>
    <w:p>
      <w:pPr>
        <w:pStyle w:val="FirstParagraph"/>
      </w:pPr>
      <w:r>
        <w:t xml:space="preserve">Our analysis confirms NYC accounts for 28% of all physics job openings in the United States. The average salary for a Physics specialist in New York City now exceeds $145,000 annually—a 17% increase from Q3 2022—reflecting acute talent scarcity.</w:t>
      </w:r>
    </w:p>
    <w:bookmarkEnd w:id="21"/>
    <w:bookmarkStart w:id="22" w:name="iii.-sales-performance-metrics"/>
    <w:p>
      <w:pPr>
        <w:pStyle w:val="Heading2"/>
      </w:pPr>
      <w:r>
        <w:t xml:space="preserve">III.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Physics Placements Completed</w:t>
      </w:r>
    </w:p>
    <w:p>
      <w:pPr>
        <w:pStyle w:val="BodyText"/>
      </w:pPr>
      <w:r>
        <w:t xml:space="preserve">87</w:t>
      </w:r>
    </w:p>
    <w:p>
      <w:pPr>
        <w:pStyle w:val="BodyText"/>
      </w:pPr>
      <w:r>
        <w:t xml:space="preserve">66</w:t>
      </w:r>
    </w:p>
    <w:p>
      <w:pPr>
        <w:pStyle w:val="BodyText"/>
      </w:pPr>
      <w:r>
        <w:t xml:space="preserve">+31.8%</w:t>
      </w:r>
    </w:p>
    <w:p>
      <w:pPr>
        <w:pStyle w:val="BodyText"/>
      </w:pPr>
      <w:r>
        <w:t xml:space="preserve">Average Time-to-Fill (Days)</w:t>
      </w:r>
    </w:p>
    <w:p>
      <w:pPr>
        <w:pStyle w:val="BodyText"/>
      </w:pPr>
      <w:r>
        <w:t xml:space="preserve">29.5</w:t>
      </w:r>
    </w:p>
    <w:p>
      <w:pPr>
        <w:pStyle w:val="BodyText"/>
      </w:pPr>
      <w:r>
        <w:t xml:space="preserve">42.3</w:t>
      </w:r>
    </w:p>
    <w:p>
      <w:pPr>
        <w:pStyle w:val="BodyText"/>
      </w:pPr>
      <w:r>
        <w:br/>
      </w:r>
    </w:p>
    <w:p>
      <w:pPr>
        <w:pStyle w:val="BodyText"/>
      </w:pPr>
      <w:r>
        <w:t xml:space="preserve">% CHANGE</w:t>
      </w:r>
    </w:p>
    <w:p>
      <w:pPr>
        <w:pStyle w:val="BodyText"/>
      </w:pPr>
      <w:r>
        <w:br/>
      </w:r>
    </w:p>
    <w:p>
      <w:pPr>
        <w:pStyle w:val="BodyText"/>
      </w:pPr>
      <w:r>
        <w:br/>
      </w:r>
    </w:p>
    <w:p>
      <w:pPr>
        <w:pStyle w:val="BodyText"/>
      </w:pPr>
      <w:r>
        <w:t xml:space="preserve">Our sales pipeline now exceeds 120 active physics recruitment mandates, representing a 47% increase over Q2. Notable wins include:</w:t>
      </w:r>
    </w:p>
    <w:p>
      <w:pPr>
        <w:numPr>
          <w:ilvl w:val="0"/>
          <w:numId w:val="1002"/>
        </w:numPr>
        <w:pStyle w:val="Compact"/>
      </w:pPr>
      <w:r>
        <w:t xml:space="preserve">A $35M contract with Brookhaven National Laboratory (Upton) for 18 high-energy Physicists</w:t>
      </w:r>
    </w:p>
    <w:p>
      <w:pPr>
        <w:numPr>
          <w:ilvl w:val="0"/>
          <w:numId w:val="1002"/>
        </w:numPr>
        <w:pStyle w:val="Compact"/>
      </w:pPr>
      <w:r>
        <w:t xml:space="preserve">Exclusive partnership with Columbia University's new Center for Quantum Sensing</w:t>
      </w:r>
    </w:p>
    <w:p>
      <w:pPr>
        <w:numPr>
          <w:ilvl w:val="0"/>
          <w:numId w:val="1002"/>
        </w:numPr>
        <w:pStyle w:val="Compact"/>
      </w:pPr>
      <w:r>
        <w:t xml:space="preserve">Placement of 7 quantum computing specialists at a major Wall Street quantitative firm (fintech application)</w:t>
      </w:r>
    </w:p>
    <w:p>
      <w:pPr>
        <w:pStyle w:val="FirstParagraph"/>
      </w:pPr>
      <w:r>
        <w:t xml:space="preserve">The most significant sales growth occurred in the "Applied Physics" segment (+42% YoY), driven by demand from NYC's burgeoning clean energy startups.</w:t>
      </w:r>
    </w:p>
    <w:bookmarkEnd w:id="22"/>
    <w:bookmarkStart w:id="23" w:name="X53f87bc05fcdadc0db0eac29a43692b6b2a9eb3"/>
    <w:p>
      <w:pPr>
        <w:pStyle w:val="Heading2"/>
      </w:pPr>
      <w:r>
        <w:t xml:space="preserve">IV. Client Success Stories: United States New York City Impact</w:t>
      </w:r>
    </w:p>
    <w:p>
      <w:pPr>
        <w:pStyle w:val="FirstParagraph"/>
      </w:pPr>
      <w:r>
        <w:rPr>
          <w:bCs/>
          <w:b/>
        </w:rPr>
        <w:t xml:space="preserve">Case Study 1: NYU Tandon School of Engineering</w:t>
      </w:r>
      <w:r>
        <w:br/>
      </w:r>
      <w:r>
        <w:t xml:space="preserve">*Challenge:* Need for 5 condensed matter Physicists to lead new nanotechnology research initiative.</w:t>
      </w:r>
      <w:r>
        <w:br/>
      </w:r>
      <w:r>
        <w:t xml:space="preserve">*Our Solution:* Sourced candidates from MIT and ETH Zurich with rare expertise in topological materials.</w:t>
      </w:r>
      <w:r>
        <w:br/>
      </w:r>
      <w:r>
        <w:t xml:space="preserve">*Outcome:* All placements exceeded project milestones by 23% within first quarter. NYU now refers us to 3 other university partners in the United States New York City metro area.</w:t>
      </w:r>
      <w:r>
        <w:t xml:space="preserve"> </w:t>
      </w:r>
      <w:r>
        <w:rPr>
          <w:bCs/>
          <w:b/>
        </w:rPr>
        <w:t xml:space="preserve">Case Study 2: Sustainable Energy Solutions (SES), Brooklyn</w:t>
      </w:r>
      <w:r>
        <w:br/>
      </w:r>
      <w:r>
        <w:t xml:space="preserve">*Challenge:* Critical shortage of plasma physicists for next-gen fusion reactor development.</w:t>
      </w:r>
      <w:r>
        <w:br/>
      </w:r>
      <w:r>
        <w:t xml:space="preserve">*Our Solution:* Identified and secured a team of ex-Princeton Plasma Physics Lab Physicists with DOE experience.</w:t>
      </w:r>
      <w:r>
        <w:br/>
      </w:r>
      <w:r>
        <w:t xml:space="preserve">*Outcome:* SES accelerated prototype development by 6 months. SECURE (Sustainable Energy Consortium) awarded SES a $12M grant based on this team's capabilities.</w:t>
      </w:r>
    </w:p>
    <w:bookmarkEnd w:id="23"/>
    <w:bookmarkStart w:id="24" w:name="v.-challenges-strategic-opportunities"/>
    <w:p>
      <w:pPr>
        <w:pStyle w:val="Heading2"/>
      </w:pPr>
      <w:r>
        <w:t xml:space="preserve">V. Challenges &amp; Strategic Opportunities</w:t>
      </w:r>
    </w:p>
    <w:p>
      <w:pPr>
        <w:pStyle w:val="FirstParagraph"/>
      </w:pPr>
      <w:r>
        <w:t xml:space="preserve">Despite robust growth, we face three critical challenges unique to United States New York City:</w:t>
      </w:r>
    </w:p>
    <w:p>
      <w:pPr>
        <w:numPr>
          <w:ilvl w:val="0"/>
          <w:numId w:val="1003"/>
        </w:numPr>
        <w:pStyle w:val="Compact"/>
      </w:pPr>
      <w:r>
        <w:rPr>
          <w:bCs/>
          <w:b/>
        </w:rPr>
        <w:t xml:space="preserve">Talent Competition:</w:t>
      </w:r>
      <w:r>
        <w:t xml:space="preserve"> </w:t>
      </w:r>
      <w:r>
        <w:t xml:space="preserve">Tech giants (Google Quantum AI, Meta) and hedge funds now aggressively poaching physics talent with 30%+ salary premiums.</w:t>
      </w:r>
    </w:p>
    <w:p>
      <w:pPr>
        <w:numPr>
          <w:ilvl w:val="0"/>
          <w:numId w:val="1003"/>
        </w:numPr>
        <w:pStyle w:val="Compact"/>
      </w:pPr>
      <w:r>
        <w:rPr>
          <w:bCs/>
          <w:b/>
        </w:rPr>
        <w:t xml:space="preserve">Visa Processing Delays:</w:t>
      </w:r>
      <w:r>
        <w:t xml:space="preserve"> </w:t>
      </w:r>
      <w:r>
        <w:t xml:space="preserve">22% of our top-tier international physicist candidates face H-1B processing delays exceeding 8 months.</w:t>
      </w:r>
    </w:p>
    <w:p>
      <w:pPr>
        <w:numPr>
          <w:ilvl w:val="0"/>
          <w:numId w:val="1003"/>
        </w:numPr>
        <w:pStyle w:val="Compact"/>
      </w:pPr>
      <w:r>
        <w:rPr>
          <w:bCs/>
          <w:b/>
        </w:rPr>
        <w:t xml:space="preserve">Skill Mismatch:</w:t>
      </w:r>
      <w:r>
        <w:t xml:space="preserve"> </w:t>
      </w:r>
      <w:r>
        <w:t xml:space="preserve">Only 15% of applicants possess the hybrid expertise (physics + machine learning) now required for quantum computing roles.</w:t>
      </w:r>
    </w:p>
    <w:p>
      <w:pPr>
        <w:pStyle w:val="FirstParagraph"/>
      </w:pPr>
      <w:r>
        <w:t xml:space="preserve">To address these, our strategic initiatives include:</w:t>
      </w:r>
    </w:p>
    <w:p>
      <w:pPr>
        <w:numPr>
          <w:ilvl w:val="0"/>
          <w:numId w:val="1004"/>
        </w:numPr>
        <w:pStyle w:val="Compact"/>
      </w:pPr>
      <w:r>
        <w:t xml:space="preserve">Launching "Quantum Talent Accelerator" program with NYC Tech Alliance to train physics graduates in ML applications</w:t>
      </w:r>
    </w:p>
    <w:p>
      <w:pPr>
        <w:numPr>
          <w:ilvl w:val="0"/>
          <w:numId w:val="1004"/>
        </w:numPr>
        <w:pStyle w:val="Compact"/>
      </w:pPr>
      <w:r>
        <w:t xml:space="preserve">Partnering with NYU and CUNY for fast-track visa pathways for critical STEM roles</w:t>
      </w:r>
    </w:p>
    <w:p>
      <w:pPr>
        <w:numPr>
          <w:ilvl w:val="0"/>
          <w:numId w:val="1004"/>
        </w:numPr>
        <w:pStyle w:val="Compact"/>
      </w:pPr>
      <w:r>
        <w:t xml:space="preserve">Developing proprietary assessment tools to identify machine learning-physics crossover talent</w:t>
      </w:r>
    </w:p>
    <w:p>
      <w:pPr>
        <w:pStyle w:val="FirstParagraph"/>
      </w:pPr>
      <w:r>
        <w:t xml:space="preserve">These initiatives position us to capture 35%+ of the growing physics talent market in United States New York City by Q1 2024.</w:t>
      </w:r>
    </w:p>
    <w:bookmarkEnd w:id="24"/>
    <w:bookmarkStart w:id="25" w:name="vi.-financial-impact-future-outlook"/>
    <w:p>
      <w:pPr>
        <w:pStyle w:val="Heading2"/>
      </w:pPr>
      <w:r>
        <w:t xml:space="preserve">VI. Financial Impact &amp; Future Outlook</w:t>
      </w:r>
    </w:p>
    <w:p>
      <w:pPr>
        <w:pStyle w:val="FirstParagraph"/>
      </w:pPr>
      <w:r>
        <w:t xml:space="preserve">The Q3 sales performance generated $6,840,000 in revenue—surpassing our target by 19%. This represents:</w:t>
      </w:r>
    </w:p>
    <w:p>
      <w:pPr>
        <w:numPr>
          <w:ilvl w:val="0"/>
          <w:numId w:val="1005"/>
        </w:numPr>
        <w:pStyle w:val="Compact"/>
      </w:pPr>
      <w:r>
        <w:t xml:space="preserve">41% of total company revenue (up from 35% in Q2)</w:t>
      </w:r>
    </w:p>
    <w:p>
      <w:pPr>
        <w:numPr>
          <w:ilvl w:val="0"/>
          <w:numId w:val="1005"/>
        </w:numPr>
        <w:pStyle w:val="Compact"/>
      </w:pPr>
      <w:r>
        <w:t xml:space="preserve">27% contribution to profit margin improvement</w:t>
      </w:r>
    </w:p>
    <w:p>
      <w:pPr>
        <w:pStyle w:val="FirstParagraph"/>
      </w:pPr>
      <w:r>
        <w:t xml:space="preserve">Our forecast for Q4 projects a 38% increase in physics placements, with particular emphasis on:</w:t>
      </w:r>
    </w:p>
    <w:p>
      <w:pPr>
        <w:numPr>
          <w:ilvl w:val="0"/>
          <w:numId w:val="1006"/>
        </w:numPr>
        <w:pStyle w:val="Compact"/>
      </w:pPr>
      <w:r>
        <w:t xml:space="preserve">Radiation Physics for cancer therapy devices (driven by Memorial Sloan Kettering expansion)</w:t>
      </w:r>
    </w:p>
    <w:p>
      <w:pPr>
        <w:numPr>
          <w:ilvl w:val="0"/>
          <w:numId w:val="1006"/>
        </w:numPr>
        <w:pStyle w:val="Compact"/>
      </w:pPr>
      <w:r>
        <w:t xml:space="preserve">Computational Astrophysics for data analysis at NASA's Goddard Space Flight Center satellite office in NYC</w:t>
      </w:r>
    </w:p>
    <w:p>
      <w:pPr>
        <w:numPr>
          <w:ilvl w:val="0"/>
          <w:numId w:val="1006"/>
        </w:numPr>
        <w:pStyle w:val="Compact"/>
      </w:pPr>
      <w:r>
        <w:t xml:space="preserve">Materials Science Physicists for advanced battery development (critical to NYC's EV infrastructure goals)</w:t>
      </w:r>
    </w:p>
    <w:p>
      <w:pPr>
        <w:pStyle w:val="FirstParagraph"/>
      </w:pPr>
      <w:r>
        <w:t xml:space="preserve">With the United States New York City market demonstrating the highest growth trajectory in physics talent acquisition nationwide, our strategic investments will yield significant market share gains. We project capturing 22% of all physics recruitment contracts in NYC by end-2024—up from 14% in Q3 2023.</w:t>
      </w:r>
    </w:p>
    <w:bookmarkEnd w:id="25"/>
    <w:bookmarkStart w:id="26" w:name="vii.-conclusion-the-physics-imperative"/>
    <w:p>
      <w:pPr>
        <w:pStyle w:val="Heading2"/>
      </w:pPr>
      <w:r>
        <w:t xml:space="preserve">VII. Conclusion: The Physics Imperative</w:t>
      </w:r>
    </w:p>
    <w:p>
      <w:pPr>
        <w:pStyle w:val="FirstParagraph"/>
      </w:pPr>
      <w:r>
        <w:t xml:space="preserve">This Sales Report affirms that the demand for Physicists is no longer niche—it is foundational to New York City's economic transformation as a global hub for quantum computing, clean energy, and advanced healthcare. As the United States' most dynamic talent market, NYC requires specialized recruitment solutions that understand both scientific rigor and metropolitan business complexities. Our team has consistently delivered this expertise through the lens of our Sales Report methodology.</w:t>
      </w:r>
      <w:r>
        <w:t xml:space="preserve"> </w:t>
      </w:r>
      <w:r>
        <w:t xml:space="preserve">The data is unequivocal: Physics talent acquisition is not merely a service line but an economic catalyst for United States New York City's future. We stand uniquely positioned to accelerate this trajectory through our specialized approach, and we recommend doubling down on physics talent development initiatives in our Q4 strategic planning. The next chapter of NYC's innovation ecosystem will be written by the physicists we place today.</w:t>
      </w:r>
    </w:p>
    <w:p>
      <w:pPr>
        <w:pStyle w:val="BodyText"/>
      </w:pPr>
      <w:r>
        <w:rPr>
          <w:bCs/>
          <w:b/>
        </w:rPr>
        <w:t xml:space="preserve">Prepared by:</w:t>
      </w:r>
      <w:r>
        <w:t xml:space="preserve"> </w:t>
      </w:r>
      <w:r>
        <w:t xml:space="preserve">Dr. Eleanor Vance, Senior Vice President of Talent Strategy</w:t>
      </w:r>
      <w:r>
        <w:br/>
      </w:r>
      <w:r>
        <w:rPr>
          <w:bCs/>
          <w:b/>
        </w:rPr>
        <w:t xml:space="preserve">Contact:</w:t>
      </w:r>
      <w:r>
        <w:t xml:space="preserve"> </w:t>
      </w:r>
      <w:r>
        <w:t xml:space="preserve">evance@globaltalent.com | (212) 555-0198</w:t>
      </w:r>
    </w:p>
    <w:p>
      <w:r>
        <w:pict>
          <v:rect style="width:0;height:1.5pt" o:hralign="center" o:hrstd="t" o:hr="t"/>
        </w:pict>
      </w:r>
    </w:p>
    <w:p>
      <w:pPr>
        <w:pStyle w:val="FirstParagraph"/>
      </w:pPr>
      <w:r>
        <w:rPr>
          <w:iCs/>
          <w:i/>
        </w:rPr>
        <w:t xml:space="preserve">This Sales Report is confidential and proprietary to Global Talent Solutions Inc. Distribution restricted to authorized personnel only. Prepared pursuant to internal compliance protocols for United States New York City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Talent Sales Report: United States New York City Market</dc:title>
  <dc:creator/>
  <dc:language>en</dc:language>
  <cp:keywords/>
  <dcterms:created xsi:type="dcterms:W3CDTF">2026-07-24T09:11:58Z</dcterms:created>
  <dcterms:modified xsi:type="dcterms:W3CDTF">2026-07-24T09:11:58Z</dcterms:modified>
</cp:coreProperties>
</file>

<file path=docProps/custom.xml><?xml version="1.0" encoding="utf-8"?>
<Properties xmlns="http://schemas.openxmlformats.org/officeDocument/2006/custom-properties" xmlns:vt="http://schemas.openxmlformats.org/officeDocument/2006/docPropsVTypes"/>
</file>