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p>
    <w:bookmarkStart w:id="33" w:name="Xeeeffe111e402bc0dc83ad070cc4be121230dd6"/>
    <w:p>
      <w:pPr>
        <w:pStyle w:val="Heading1"/>
      </w:pPr>
      <w:r>
        <w:t xml:space="preserve">Professional Physiotherapy Sales Performance Report: Australia Melbourne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Team</w:t>
      </w:r>
    </w:p>
    <w:bookmarkStart w:id="20" w:name="executive-summary"/>
    <w:p>
      <w:pPr>
        <w:pStyle w:val="Heading2"/>
      </w:pPr>
      <w:r>
        <w:t xml:space="preserve">Executive Summary</w:t>
      </w:r>
    </w:p>
    <w:p>
      <w:pPr>
        <w:pStyle w:val="FirstParagraph"/>
      </w:pPr>
      <w:r>
        <w:t xml:space="preserve">This comprehensive Sales Report details the performance of our physiotherapy services across Melbourne, Australia. The quarter ending September 30, 2023, demonstrated remarkable growth in patient acquisition and service revenue despite unprecedented market challenges. Our Melbourne-based practice achieved a 17.8% increase in total sales compared to Q2, solidifying our position as a leader in Australia's physiotherapy sector. This document provides an analytical overview of key performance indicators, strategic initiatives driving success, and forward-looking recommendations for sustaining momentum in the competitive Australia Melbourne market.</w:t>
      </w:r>
    </w:p>
    <w:bookmarkEnd w:id="20"/>
    <w:bookmarkStart w:id="21" w:name="Xf7cc8dbadc2d2300f5c0d9266d7865e931506e2"/>
    <w:p>
      <w:pPr>
        <w:pStyle w:val="Heading2"/>
      </w:pPr>
      <w:r>
        <w:t xml:space="preserve">Market Context: Physiotherapy Demand in Melbourne</w:t>
      </w:r>
    </w:p>
    <w:p>
      <w:pPr>
        <w:pStyle w:val="FirstParagraph"/>
      </w:pPr>
      <w:r>
        <w:t xml:space="preserve">The Australian healthcare landscape continues to evolve with increased emphasis on preventative care. In Melbourne specifically, demand for physiotherapy services has surged by 14% nationally over the past 18 months, driven by an aging population and rising sports participation rates. As a dedicated Physiotherapist practice operating across key Melbourne suburbs (Melbourne CBD, South Yarra, Caulfield), we've witnessed this trend firsthand. The Victorian government's recent $50M investment in community-based rehabilitation services directly benefits our Melbourne operations, creating significant sales opportunities we've strategically capitalized on.</w:t>
      </w:r>
    </w:p>
    <w:bookmarkEnd w:id="21"/>
    <w:bookmarkStart w:id="22" w:name="Xc6db8b7a77a041a82592f7954b2f24d81fdda9a"/>
    <w:p>
      <w:pPr>
        <w:pStyle w:val="Heading2"/>
      </w:pPr>
      <w:r>
        <w:t xml:space="preserve">Key Sales Metrics: Australia Melbourne Performance</w:t>
      </w:r>
    </w:p>
    <w:p>
      <w:pPr>
        <w:pStyle w:val="FirstParagraph"/>
      </w:pPr>
      <w:r>
        <w:t xml:space="preserve">Our Q3 2023 performance against targets is outlined below:</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Appointments Booked</w:t>
      </w:r>
    </w:p>
    <w:p>
      <w:pPr>
        <w:pStyle w:val="BodyText"/>
      </w:pPr>
      <w:r>
        <w:t xml:space="preserve">5,842</w:t>
      </w:r>
    </w:p>
    <w:p>
      <w:pPr>
        <w:pStyle w:val="BodyText"/>
      </w:pPr>
      <w:r>
        <w:t xml:space="preserve">5,100</w:t>
      </w:r>
    </w:p>
    <w:p>
      <w:pPr>
        <w:pStyle w:val="BodyText"/>
      </w:pPr>
      <w:r>
        <w:t xml:space="preserve">+14.6%</w:t>
      </w:r>
    </w:p>
    <w:p>
      <w:pPr>
        <w:pStyle w:val="BodyText"/>
      </w:pPr>
      <w:r>
        <w:t xml:space="preserve">Average Revenue Per Patient</w:t>
      </w:r>
    </w:p>
    <w:p>
      <w:pPr>
        <w:pStyle w:val="BodyText"/>
      </w:pPr>
      <w:r>
        <w:t xml:space="preserve">d$237.50d&gt;</w:t>
      </w:r>
    </w:p>
    <w:p>
      <w:pPr>
        <w:pStyle w:val="BodyText"/>
      </w:pPr>
      <w:r>
        <w:t xml:space="preserve">Service Mix Breakdown (Revenue Share)</w:t>
      </w:r>
    </w:p>
    <w:p>
      <w:pPr>
        <w:pStyle w:val="BodyText"/>
      </w:pPr>
      <w:r>
        <w:t xml:space="preserve">Rehabilitation Programs</w:t>
      </w:r>
    </w:p>
    <w:p>
      <w:pPr>
        <w:pStyle w:val="BodyText"/>
      </w:pPr>
      <w:r>
        <w:t xml:space="preserve">42%</w:t>
      </w:r>
    </w:p>
    <w:p>
      <w:pPr>
        <w:pStyle w:val="BodyText"/>
      </w:pPr>
      <w:r>
        <w:t xml:space="preserve">38%</w:t>
      </w:r>
    </w:p>
    <w:p>
      <w:pPr>
        <w:pStyle w:val="BodyText"/>
      </w:pPr>
      <w:r>
        <w:t xml:space="preserve">+4% pts</w:t>
      </w:r>
    </w:p>
    <w:p>
      <w:pPr>
        <w:pStyle w:val="BodyText"/>
      </w:pPr>
      <w:r>
        <w:t xml:space="preserve">Sports Physiotherapy</w:t>
      </w:r>
    </w:p>
    <w:p>
      <w:pPr>
        <w:pStyle w:val="BodyText"/>
      </w:pPr>
      <w:r>
        <w:t xml:space="preserve">d31%d&gt;</w:t>
      </w:r>
    </w:p>
    <w:p>
      <w:pPr>
        <w:pStyle w:val="BodyText"/>
      </w:pPr>
      <w:r>
        <w:t xml:space="preserve">Geographic Performance (Melbourne Suburbs)</w:t>
      </w:r>
    </w:p>
    <w:p>
      <w:pPr>
        <w:pStyle w:val="BodyText"/>
      </w:pPr>
      <w:r>
        <w:t xml:space="preserve">South Yarra Clinic</w:t>
      </w:r>
    </w:p>
    <w:p>
      <w:pPr>
        <w:pStyle w:val="BodyText"/>
      </w:pPr>
      <w:r>
        <w:t xml:space="preserve">28% of Revenue</w:t>
      </w:r>
    </w:p>
    <w:p>
      <w:pPr>
        <w:pStyle w:val="BodyText"/>
      </w:pPr>
      <w:r>
        <w:t xml:space="preserve">25%</w:t>
      </w:r>
    </w:p>
    <w:p>
      <w:pPr>
        <w:pStyle w:val="BodyText"/>
      </w:pPr>
      <w:r>
        <w:t xml:space="preserve">+3% pts</w:t>
      </w:r>
    </w:p>
    <w:p>
      <w:pPr>
        <w:pStyle w:val="BodyText"/>
      </w:pPr>
      <w:r>
        <w:t xml:space="preserve">Melbourne CBD Practice</w:t>
      </w:r>
    </w:p>
    <w:p>
      <w:pPr>
        <w:pStyle w:val="BodyText"/>
      </w:pPr>
      <w:r>
        <w:t xml:space="preserve">d24%d&gt;</w:t>
      </w:r>
    </w:p>
    <w:bookmarkEnd w:id="22"/>
    <w:bookmarkStart w:id="26" w:name="X5bea46b734f0d463bf8e6791ce7253b3732dd5d"/>
    <w:p>
      <w:pPr>
        <w:pStyle w:val="Heading2"/>
      </w:pPr>
      <w:r>
        <w:t xml:space="preserve">Strategic Initiatives Driving Sales Growth</w:t>
      </w:r>
    </w:p>
    <w:p>
      <w:pPr>
        <w:pStyle w:val="FirstParagraph"/>
      </w:pPr>
      <w:r>
        <w:t xml:space="preserve">Our success in the Australia Melbourne market stems from three targeted strategies:</w:t>
      </w:r>
    </w:p>
    <w:bookmarkStart w:id="23" w:name="X8740c1fa5a858d63da30696e0e13a0a9a77d9b1"/>
    <w:p>
      <w:pPr>
        <w:pStyle w:val="Heading3"/>
      </w:pPr>
      <w:r>
        <w:t xml:space="preserve">1. Hyper-Local Melbourne Community Engagement</w:t>
      </w:r>
    </w:p>
    <w:p>
      <w:pPr>
        <w:pStyle w:val="FirstParagraph"/>
      </w:pPr>
      <w:r>
        <w:t xml:space="preserve">We've partnered with 18 local sporting clubs across Melbourne (including AFL Victoria and Victorian Premier League teams) to provide on-site physiotherapy services. This initiative generated 327 new patient referrals in Q3 alone, significantly boosting our Sports Physiotherapy sales. Additionally, our free community posture assessments at Melbourne libraries and council centers attracted 182 qualified leads.</w:t>
      </w:r>
    </w:p>
    <w:bookmarkEnd w:id="23"/>
    <w:bookmarkStart w:id="24" w:name="Xd848656cc1727df0a622ec42bc2654551e15e41"/>
    <w:p>
      <w:pPr>
        <w:pStyle w:val="Heading3"/>
      </w:pPr>
      <w:r>
        <w:t xml:space="preserve">2. Digital Transformation for Australian Patients</w:t>
      </w:r>
    </w:p>
    <w:p>
      <w:pPr>
        <w:pStyle w:val="FirstParagraph"/>
      </w:pPr>
      <w:r>
        <w:t xml:space="preserve">Recognizing the importance of accessibility in Australia Melbourne's urban environment, we implemented a dedicated mobile app with telehealth capabilities. This resulted in 47% of new patients booking through digital channels – far exceeding national averages (28%). The app integration also increased patient retention by 22%, directly contributing to higher lifetime value per customer.</w:t>
      </w:r>
    </w:p>
    <w:bookmarkEnd w:id="24"/>
    <w:bookmarkStart w:id="25" w:name="Xb715c7952f01d648e778739f9df313757923074"/>
    <w:p>
      <w:pPr>
        <w:pStyle w:val="Heading3"/>
      </w:pPr>
      <w:r>
        <w:t xml:space="preserve">3. Medicare &amp; Private Health Fund Optimization</w:t>
      </w:r>
    </w:p>
    <w:p>
      <w:pPr>
        <w:pStyle w:val="FirstParagraph"/>
      </w:pPr>
      <w:r>
        <w:t xml:space="preserve">Our dedicated billing team, trained in Australia's latest Medicare guidelines, secured a 19% increase in claim approval rates. We've also forged exclusive partnerships with four major private health funds (HCF, Bupa, Medibank), creating bundled service packages that increased average transaction value by $45 per patient. This is particularly crucial for Melbourne's demographic of retirees seeking cost-effective care.</w:t>
      </w:r>
    </w:p>
    <w:bookmarkEnd w:id="25"/>
    <w:bookmarkEnd w:id="26"/>
    <w:bookmarkStart w:id="27" w:name="challenges-in-australia-melbourne-market"/>
    <w:p>
      <w:pPr>
        <w:pStyle w:val="Heading2"/>
      </w:pPr>
      <w:r>
        <w:t xml:space="preserve">Challenges in Australia Melbourne Market</w:t>
      </w:r>
    </w:p>
    <w:p>
      <w:pPr>
        <w:pStyle w:val="FirstParagraph"/>
      </w:pPr>
      <w:r>
        <w:t xml:space="preserve">Despite strong growth, we faced significant hurdles:</w:t>
      </w:r>
    </w:p>
    <w:p>
      <w:pPr>
        <w:numPr>
          <w:ilvl w:val="0"/>
          <w:numId w:val="1001"/>
        </w:numPr>
        <w:pStyle w:val="Compact"/>
      </w:pPr>
      <w:r>
        <w:rPr>
          <w:bCs/>
          <w:b/>
        </w:rPr>
        <w:t xml:space="preserve">Workforce Shortages:</w:t>
      </w:r>
      <w:r>
        <w:t xml:space="preserve"> </w:t>
      </w:r>
      <w:r>
        <w:t xml:space="preserve">30% vacancy rate for Physiotherapist positions across Melbourne (Australian Bureau of Statistics, August 2023). This temporarily limited our service capacity during peak season.</w:t>
      </w:r>
    </w:p>
    <w:p>
      <w:pPr>
        <w:numPr>
          <w:ilvl w:val="0"/>
          <w:numId w:val="1001"/>
        </w:numPr>
        <w:pStyle w:val="Compact"/>
      </w:pPr>
      <w:r>
        <w:rPr>
          <w:bCs/>
          <w:b/>
        </w:rPr>
        <w:t xml:space="preserve">Insurance Reimbursement Complexities:</w:t>
      </w:r>
      <w:r>
        <w:t xml:space="preserve"> </w:t>
      </w:r>
      <w:r>
        <w:t xml:space="preserve">Frequent changes to Medicare item numbers required constant staff retraining, delaying some revenue collections.</w:t>
      </w:r>
    </w:p>
    <w:p>
      <w:pPr>
        <w:numPr>
          <w:ilvl w:val="0"/>
          <w:numId w:val="1001"/>
        </w:numPr>
        <w:pStyle w:val="Compact"/>
      </w:pPr>
      <w:r>
        <w:rPr>
          <w:bCs/>
          <w:b/>
        </w:rPr>
        <w:t xml:space="preserve">Competitive Pressure:</w:t>
      </w:r>
      <w:r>
        <w:t xml:space="preserve"> </w:t>
      </w:r>
      <w:r>
        <w:t xml:space="preserve">New physiotherapy startups in Melbourne CBD created price pressures, though our specialized sports rehabilitation services maintained premium pricing advantage.</w:t>
      </w:r>
    </w:p>
    <w:bookmarkEnd w:id="27"/>
    <w:bookmarkStart w:id="30" w:name="X5d08bad80676aa5a7c80841cc16adbbf06378bb"/>
    <w:p>
      <w:pPr>
        <w:pStyle w:val="Heading2"/>
      </w:pPr>
      <w:r>
        <w:t xml:space="preserve">Sales Performance Analysis by Service Category</w:t>
      </w:r>
    </w:p>
    <w:p>
      <w:pPr>
        <w:pStyle w:val="FirstParagraph"/>
      </w:pPr>
      <w:r>
        <w:t xml:space="preserve">The most successful service segments were:</w:t>
      </w:r>
    </w:p>
    <w:bookmarkStart w:id="28" w:name="Xf57b42255702aa8812db121ef2565541944c561"/>
    <w:p>
      <w:pPr>
        <w:pStyle w:val="Heading3"/>
      </w:pPr>
      <w:r>
        <w:t xml:space="preserve">Post-Operative Rehabilitation (48% of Revenue)</w:t>
      </w:r>
    </w:p>
    <w:p>
      <w:pPr>
        <w:pStyle w:val="FirstParagraph"/>
      </w:pPr>
      <w:r>
        <w:t xml:space="preserve">Strong partnerships with Melbourne orthopedic surgeons drove 62 new referrals from The Alfred Hospital and Epworth Private. This segment achieved the highest patient satisfaction scores (9.2/10) in Australia Melbourne, leading to exceptional referral rates.</w:t>
      </w:r>
    </w:p>
    <w:bookmarkEnd w:id="28"/>
    <w:bookmarkStart w:id="29" w:name="sports-injury-management-31-of-revenue"/>
    <w:p>
      <w:pPr>
        <w:pStyle w:val="Heading3"/>
      </w:pPr>
      <w:r>
        <w:t xml:space="preserve">Sports Injury Management (31% of Revenue)</w:t>
      </w:r>
    </w:p>
    <w:p>
      <w:pPr>
        <w:pStyle w:val="FirstParagraph"/>
      </w:pPr>
      <w:r>
        <w:t xml:space="preserve">Our exclusive partnership with Melbourne City Football Club resulted in 87 new athlete referrals and increased our market share in sports physiotherapy by 12 percentage points. The tailored program for elite athletes commands a 25% premium over standard rates.</w:t>
      </w:r>
    </w:p>
    <w:bookmarkEnd w:id="29"/>
    <w:bookmarkEnd w:id="30"/>
    <w:bookmarkStart w:id="31" w:name="future-outlook-strategic-recommendations"/>
    <w:p>
      <w:pPr>
        <w:pStyle w:val="Heading2"/>
      </w:pPr>
      <w:r>
        <w:t xml:space="preserve">Future Outlook &amp; Strategic Recommendations</w:t>
      </w:r>
    </w:p>
    <w:p>
      <w:pPr>
        <w:pStyle w:val="FirstParagraph"/>
      </w:pPr>
      <w:r>
        <w:t xml:space="preserve">Based on current market trends, we recommend three initiatives to maintain growth trajectory in Australia Melbourne:</w:t>
      </w:r>
    </w:p>
    <w:p>
      <w:pPr>
        <w:numPr>
          <w:ilvl w:val="0"/>
          <w:numId w:val="1002"/>
        </w:numPr>
        <w:pStyle w:val="Compact"/>
      </w:pPr>
      <w:r>
        <w:rPr>
          <w:bCs/>
          <w:b/>
        </w:rPr>
        <w:t xml:space="preserve">Expand Telehealth Capabilities:</w:t>
      </w:r>
      <w:r>
        <w:t xml:space="preserve"> </w:t>
      </w:r>
      <w:r>
        <w:t xml:space="preserve">Invest $150,000 in enhanced virtual assessment technology to capture the growing demand for remote physiotherapy services (projected 35% market increase by 2024).</w:t>
      </w:r>
    </w:p>
    <w:p>
      <w:pPr>
        <w:numPr>
          <w:ilvl w:val="0"/>
          <w:numId w:val="1002"/>
        </w:numPr>
        <w:pStyle w:val="Compact"/>
      </w:pPr>
      <w:r>
        <w:rPr>
          <w:bCs/>
          <w:b/>
        </w:rPr>
        <w:t xml:space="preserve">Develop Corporate Wellness Partnerships:</w:t>
      </w:r>
      <w:r>
        <w:t xml:space="preserve"> </w:t>
      </w:r>
      <w:r>
        <w:t xml:space="preserve">Target Melbourne's top 50 corporations with customized on-site Physiotherapist programs, projected to generate $280K+ in annual recurring revenue.</w:t>
      </w:r>
    </w:p>
    <w:p>
      <w:pPr>
        <w:numPr>
          <w:ilvl w:val="0"/>
          <w:numId w:val="1002"/>
        </w:numPr>
        <w:pStyle w:val="Compact"/>
      </w:pPr>
      <w:r>
        <w:rPr>
          <w:bCs/>
          <w:b/>
        </w:rPr>
        <w:t xml:space="preserve">Leverage Data Analytics:</w:t>
      </w:r>
      <w:r>
        <w:t xml:space="preserve"> </w:t>
      </w:r>
      <w:r>
        <w:t xml:space="preserve">Implement AI-driven patient journey analysis to identify cross-selling opportunities within our Melbourne client base, expected to increase average revenue per patient by 15-20%.</w:t>
      </w:r>
    </w:p>
    <w:bookmarkEnd w:id="31"/>
    <w:bookmarkStart w:id="32" w:name="conclusion"/>
    <w:p>
      <w:pPr>
        <w:pStyle w:val="Heading2"/>
      </w:pPr>
      <w:r>
        <w:t xml:space="preserve">Conclusion</w:t>
      </w:r>
    </w:p>
    <w:p>
      <w:pPr>
        <w:pStyle w:val="FirstParagraph"/>
      </w:pPr>
      <w:r>
        <w:t xml:space="preserve">This Sales Report demonstrates that our Melbourne-based Physiotherapist practice has not only met but exceeded sales objectives in the competitive Australia market. Our data-driven approach to service delivery, combined with deep community integration in Melbourne, has positioned us for sustained growth. The 17.8% revenue increase across Q3 reflects our strategic focus on high-value service segments and digital transformation – critical differentiators in today's Australian healthcare environment.</w:t>
      </w:r>
    </w:p>
    <w:p>
      <w:pPr>
        <w:pStyle w:val="BodyText"/>
      </w:pPr>
      <w:r>
        <w:t xml:space="preserve">As we move into 2024, we will maintain this momentum through targeted expansion of our specialist programs while deepening our presence in Melbourne's underserved communities. Our commitment to delivering exceptional patient outcomes remains the foundation of all sales initiatives, ensuring that every service purchased reflects the highest standard of care expected from a premier Physiotherapist practice in Australia Melbourne.</w:t>
      </w:r>
    </w:p>
    <w:p>
      <w:pPr>
        <w:pStyle w:val="BodyText"/>
      </w:pPr>
      <w:r>
        <w:rPr>
          <w:bCs/>
          <w:b/>
        </w:rPr>
        <w:t xml:space="preserve">Prepared By:</w:t>
      </w:r>
      <w:r>
        <w:t xml:space="preserve"> </w:t>
      </w:r>
      <w:r>
        <w:t xml:space="preserve">[Your Name/Department] |</w:t>
      </w:r>
      <w:r>
        <w:t xml:space="preserve"> </w:t>
      </w:r>
      <w:r>
        <w:rPr>
          <w:bCs/>
          <w:b/>
        </w:rPr>
        <w:t xml:space="preserve">Physiotherapy Sales &amp; Strategy Division</w:t>
      </w:r>
    </w:p>
    <w:p>
      <w:pPr>
        <w:pStyle w:val="BodyText"/>
      </w:pPr>
      <w:r>
        <w:rPr>
          <w:iCs/>
          <w:i/>
        </w:rPr>
        <w:t xml:space="preserve">This report adheres to Australian Privacy Principles (APPs) and includes only aggregated, non-identifiable data per the Privacy Act 1988.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Australia Melbourne Market</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