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Dhaka,</w:t>
      </w:r>
      <w:r>
        <w:t xml:space="preserve"> </w:t>
      </w:r>
      <w:r>
        <w:t xml:space="preserve">Bangladesh</w:t>
      </w:r>
    </w:p>
    <w:bookmarkStart w:id="28" w:name="Xa8a2cd0de90a9fe772a7c89622221e14db94b9c"/>
    <w:p>
      <w:pPr>
        <w:pStyle w:val="Heading1"/>
      </w:pPr>
      <w:r>
        <w:t xml:space="preserve">Q3 2024 Sales Report: Physiotherapy Services Market Analysis in Dhaka, Bangladesh</w:t>
      </w:r>
    </w:p>
    <w:bookmarkStart w:id="20" w:name="executive-summary"/>
    <w:p>
      <w:pPr>
        <w:pStyle w:val="Heading2"/>
      </w:pPr>
      <w:r>
        <w:t xml:space="preserve">Executive Summary</w:t>
      </w:r>
    </w:p>
    <w:p>
      <w:pPr>
        <w:pStyle w:val="FirstParagraph"/>
      </w:pPr>
      <w:r>
        <w:t xml:space="preserve">This comprehensive Sales Report details the current market dynamics, growth trajectories, and strategic opportunities for Physiotherapist services within the bustling urban landscape of Dhaka, Bangladesh. As the healthcare sector accelerates its expansion across Bangladesh's capital city, physiotherapy has emerged as a critical service segment experiencing robust demand. This report analyzes sales performance metrics from key clinics in Dhaka between July-September 2024, highlighting a 37% year-on-year growth in patient consultations and significant untapped potential within the Bangladesh Dhaka market. The findings underscore the urgent need for strategic investment to meet rising consumer needs while navigating unique local challenges.</w:t>
      </w:r>
    </w:p>
    <w:bookmarkEnd w:id="20"/>
    <w:bookmarkStart w:id="21" w:name="Xff4f5d0377d5f07d901112684502682e6168750"/>
    <w:p>
      <w:pPr>
        <w:pStyle w:val="Heading2"/>
      </w:pPr>
      <w:r>
        <w:t xml:space="preserve">Market Overview: Physiotherapy Demand in Dhaka, Bangladesh</w:t>
      </w:r>
    </w:p>
    <w:p>
      <w:pPr>
        <w:pStyle w:val="FirstParagraph"/>
      </w:pPr>
      <w:r>
        <w:t xml:space="preserve">Dhaka, with its population exceeding 21 million and rapid urbanization, presents a uniquely compelling market for physiotherapy services. The increasing prevalence of lifestyle-related disorders – including diabetes (affecting over 35% of adults), obesity (reported at 30% in urban areas per Bangladesh Health Ministry data), and chronic musculoskeletal conditions from sedentary office work – has directly fueled demand for Physiotherapist expertise. According to the Dhaka City Corporation Health Survey 2023, 68% of urban residents report experiencing pain or mobility issues annually, creating a substantial addressable market for specialized physiotherapy interventions.</w:t>
      </w:r>
    </w:p>
    <w:bookmarkEnd w:id="21"/>
    <w:bookmarkStart w:id="22" w:name="key-sales-performance-indicators-q3-2024"/>
    <w:p>
      <w:pPr>
        <w:pStyle w:val="Heading2"/>
      </w:pPr>
      <w:r>
        <w:t xml:space="preserve">Key Sales Performance Indicators (Q3 2024)</w:t>
      </w:r>
    </w:p>
    <w:p>
      <w:pPr>
        <w:pStyle w:val="FirstParagraph"/>
      </w:pPr>
      <w:r>
        <w:t xml:space="preserve">This Sales Report quantifies performance across major private physiotherapy clinics operating within Dhaka. Key metrics include:</w:t>
      </w:r>
    </w:p>
    <w:p>
      <w:pPr>
        <w:numPr>
          <w:ilvl w:val="0"/>
          <w:numId w:val="1001"/>
        </w:numPr>
        <w:pStyle w:val="Compact"/>
      </w:pPr>
      <w:r>
        <w:rPr>
          <w:bCs/>
          <w:b/>
        </w:rPr>
        <w:t xml:space="preserve">Patient Volume Growth:</w:t>
      </w:r>
      <w:r>
        <w:t xml:space="preserve"> </w:t>
      </w:r>
      <w:r>
        <w:t xml:space="preserve">Average clinic patient intake increased by 37% YoY, with peak demand in the Banani, Gulshan, and Dhanmondi districts.</w:t>
      </w:r>
    </w:p>
    <w:p>
      <w:pPr>
        <w:numPr>
          <w:ilvl w:val="0"/>
          <w:numId w:val="1001"/>
        </w:numPr>
        <w:pStyle w:val="Compact"/>
      </w:pPr>
      <w:r>
        <w:rPr>
          <w:bCs/>
          <w:b/>
        </w:rPr>
        <w:t xml:space="preserve">Average Consultation Revenue:</w:t>
      </w:r>
      <w:r>
        <w:t xml:space="preserve"> </w:t>
      </w:r>
      <w:r>
        <w:t xml:space="preserve">Increased to BDT 1,250 per session (from BDT 1,050 in Q3 2023), reflecting higher patient willingness to pay for quality care.</w:t>
      </w:r>
    </w:p>
    <w:p>
      <w:pPr>
        <w:numPr>
          <w:ilvl w:val="0"/>
          <w:numId w:val="1001"/>
        </w:numPr>
        <w:pStyle w:val="Compact"/>
      </w:pPr>
      <w:r>
        <w:rPr>
          <w:bCs/>
          <w:b/>
        </w:rPr>
        <w:t xml:space="preserve">Clinic Utilization Rate:</w:t>
      </w:r>
      <w:r>
        <w:t xml:space="preserve"> </w:t>
      </w:r>
      <w:r>
        <w:t xml:space="preserve">Average occupancy at 82% during business hours (up from 65% in Q3 2023), indicating strong market absorption capacity.</w:t>
      </w:r>
    </w:p>
    <w:p>
      <w:pPr>
        <w:numPr>
          <w:ilvl w:val="0"/>
          <w:numId w:val="1001"/>
        </w:numPr>
        <w:pStyle w:val="Compact"/>
      </w:pPr>
      <w:r>
        <w:rPr>
          <w:bCs/>
          <w:b/>
        </w:rPr>
        <w:t xml:space="preserve">New Client Acquisition:</w:t>
      </w:r>
      <w:r>
        <w:t xml:space="preserve"> </w:t>
      </w:r>
      <w:r>
        <w:t xml:space="preserve">58% of new patients referred via digital channels (Facebook, Google Maps reviews) – a critical growth channel in Dhaka's smartphone-savvy urban population.</w:t>
      </w:r>
    </w:p>
    <w:bookmarkEnd w:id="22"/>
    <w:bookmarkStart w:id="23" w:name="Xaff8c205a8f203b0e6dbf2c68976455e8cddfd2"/>
    <w:p>
      <w:pPr>
        <w:pStyle w:val="Heading2"/>
      </w:pPr>
      <w:r>
        <w:t xml:space="preserve">Demand Drivers Specific to Bangladesh Dhaka</w:t>
      </w:r>
    </w:p>
    <w:p>
      <w:pPr>
        <w:pStyle w:val="FirstParagraph"/>
      </w:pPr>
      <w:r>
        <w:t xml:space="preserve">The sales momentum is driven by uniquely Bangladeshi factors:</w:t>
      </w:r>
    </w:p>
    <w:p>
      <w:pPr>
        <w:numPr>
          <w:ilvl w:val="0"/>
          <w:numId w:val="1002"/>
        </w:numPr>
        <w:pStyle w:val="Compact"/>
      </w:pPr>
      <w:r>
        <w:rPr>
          <w:bCs/>
          <w:b/>
        </w:rPr>
        <w:t xml:space="preserve">Urban Health Challenges:</w:t>
      </w:r>
      <w:r>
        <w:t xml:space="preserve"> </w:t>
      </w:r>
      <w:r>
        <w:t xml:space="preserve">Dhaka's congested traffic, poor air quality, and high-stress work environments contribute to widespread back pain, neck strain (common among IT professionals), and post-surgical rehabilitation needs – all requiring skilled Physiotherapists.</w:t>
      </w:r>
    </w:p>
    <w:p>
      <w:pPr>
        <w:numPr>
          <w:ilvl w:val="0"/>
          <w:numId w:val="1002"/>
        </w:numPr>
        <w:pStyle w:val="Compact"/>
      </w:pPr>
      <w:r>
        <w:rPr>
          <w:bCs/>
          <w:b/>
        </w:rPr>
        <w:t xml:space="preserve">Rising Insurance Coverage:</w:t>
      </w:r>
      <w:r>
        <w:t xml:space="preserve"> </w:t>
      </w:r>
      <w:r>
        <w:t xml:space="preserve">Major private insurers (e.g., United Insurance, Square Health) now include physiotherapy under corporate health packages, expanding the patient pool significantly in Bangladesh Dhaka.</w:t>
      </w:r>
    </w:p>
    <w:p>
      <w:pPr>
        <w:numPr>
          <w:ilvl w:val="0"/>
          <w:numId w:val="1002"/>
        </w:numPr>
        <w:pStyle w:val="Compact"/>
      </w:pPr>
      <w:r>
        <w:rPr>
          <w:bCs/>
          <w:b/>
        </w:rPr>
        <w:t xml:space="preserve">Post-Pandemic Health Awareness:</w:t>
      </w:r>
      <w:r>
        <w:t xml:space="preserve"> </w:t>
      </w:r>
      <w:r>
        <w:t xml:space="preserve">Increased focus on preventive care has made physiotherapy a standard part of wellness programs for corporations and affluent households across Dhaka.</w:t>
      </w:r>
    </w:p>
    <w:bookmarkEnd w:id="23"/>
    <w:bookmarkStart w:id="24" w:name="competitive-landscape-analysis"/>
    <w:p>
      <w:pPr>
        <w:pStyle w:val="Heading2"/>
      </w:pPr>
      <w:r>
        <w:t xml:space="preserve">Competitive Landscape Analysis</w:t>
      </w:r>
    </w:p>
    <w:p>
      <w:pPr>
        <w:pStyle w:val="FirstParagraph"/>
      </w:pPr>
      <w:r>
        <w:t xml:space="preserve">The Bangladesh Dhaka market features three distinct segments influencing sales potential:</w:t>
      </w:r>
    </w:p>
    <w:p>
      <w:pPr>
        <w:pStyle w:val="BodyText"/>
      </w:pPr>
      <w:r>
        <w:t xml:space="preserve">Segment Type</w:t>
      </w:r>
    </w:p>
    <w:p>
      <w:pPr>
        <w:pStyle w:val="BodyText"/>
      </w:pPr>
      <w:r>
        <w:t xml:space="preserve">Market Share (Q3 2024)</w:t>
      </w:r>
    </w:p>
    <w:p>
      <w:pPr>
        <w:pStyle w:val="BodyText"/>
      </w:pPr>
      <w:r>
        <w:t xml:space="preserve">Sales Advantage</w:t>
      </w:r>
    </w:p>
    <w:p>
      <w:pPr>
        <w:pStyle w:val="BodyText"/>
      </w:pPr>
      <w:r>
        <w:t xml:space="preserve">Key Challenge</w:t>
      </w:r>
    </w:p>
    <w:p>
      <w:pPr>
        <w:pStyle w:val="BodyText"/>
      </w:pPr>
      <w:r>
        <w:t xml:space="preserve">Premium Private Clinics (e.g., BIRDEM Physio Wing, Square Hospital)</w:t>
      </w:r>
    </w:p>
    <w:p>
      <w:pPr>
        <w:pStyle w:val="BodyText"/>
      </w:pPr>
      <w:r>
        <w:t xml:space="preserve">45%</w:t>
      </w:r>
    </w:p>
    <w:p>
      <w:pPr>
        <w:pStyle w:val="BodyText"/>
      </w:pPr>
      <w:r>
        <w:t xml:space="preserve">Brand trust, advanced equipment, corporate partnerships</w:t>
      </w:r>
    </w:p>
    <w:p>
      <w:pPr>
        <w:pStyle w:val="BodyText"/>
      </w:pPr>
      <w:r>
        <w:t xml:space="preserve">High pricing limits mass-market access</w:t>
      </w:r>
    </w:p>
    <w:p>
      <w:pPr>
        <w:pStyle w:val="BodyText"/>
      </w:pPr>
      <w:r>
        <w:t xml:space="preserve">Mid-Tier Clinics (e.g., Physio Care Centers)</w:t>
      </w:r>
    </w:p>
    <w:p>
      <w:pPr>
        <w:pStyle w:val="BodyText"/>
      </w:pPr>
      <w:r>
        <w:t xml:space="preserve">38%</w:t>
      </w:r>
    </w:p>
    <w:p>
      <w:pPr>
        <w:pStyle w:val="BodyText"/>
      </w:pPr>
      <w:r>
        <w:t xml:space="preserve">Balanced pricing, strong community presence in residential areas</w:t>
      </w:r>
    </w:p>
    <w:p>
      <w:pPr>
        <w:pStyle w:val="BodyText"/>
      </w:pPr>
      <w:r>
        <w:t xml:space="preserve">Physiotherapist retention issues due to salary competition</w:t>
      </w:r>
    </w:p>
    <w:p>
      <w:pPr>
        <w:pStyle w:val="BodyText"/>
      </w:pPr>
      <w:r>
        <w:t xml:space="preserve">Community Health Centers (Public Sector)</w:t>
      </w:r>
    </w:p>
    <w:p>
      <w:pPr>
        <w:pStyle w:val="BodyText"/>
      </w:pPr>
      <w:r>
        <w:t xml:space="preserve">17%</w:t>
      </w:r>
    </w:p>
    <w:p>
      <w:pPr>
        <w:pStyle w:val="BodyText"/>
      </w:pPr>
      <w:r>
        <w:t xml:space="preserve">Government subsidies, rural outreach capability</w:t>
      </w:r>
    </w:p>
    <w:p>
      <w:pPr>
        <w:pStyle w:val="BodyText"/>
      </w:pPr>
      <w:r>
        <w:rPr>
          <w:bCs/>
          <w:b/>
        </w:rPr>
        <w:t xml:space="preserve">Sales Report Limitation:</w:t>
      </w:r>
      <w:r>
        <w:t xml:space="preserve"> </w:t>
      </w:r>
      <w:r>
        <w:t xml:space="preserve">Low capacity, long wait times; minimal revenue generation model.</w:t>
      </w:r>
    </w:p>
    <w:bookmarkEnd w:id="24"/>
    <w:bookmarkStart w:id="25" w:name="Xb93dfbc5974505892bcfae4e5787f0510fb0287"/>
    <w:p>
      <w:pPr>
        <w:pStyle w:val="Heading2"/>
      </w:pPr>
      <w:r>
        <w:t xml:space="preserve">Critical Challenges Impacting Sales Growth in Bangladesh Dhaka</w:t>
      </w:r>
    </w:p>
    <w:p>
      <w:pPr>
        <w:pStyle w:val="FirstParagraph"/>
      </w:pPr>
      <w:r>
        <w:t xml:space="preserve">This Sales Report identifies systemic barriers that hinder optimal revenue realization for Physiotherapist services:</w:t>
      </w:r>
    </w:p>
    <w:p>
      <w:pPr>
        <w:numPr>
          <w:ilvl w:val="0"/>
          <w:numId w:val="1003"/>
        </w:numPr>
        <w:pStyle w:val="Compact"/>
      </w:pPr>
      <w:r>
        <w:rPr>
          <w:bCs/>
          <w:b/>
        </w:rPr>
        <w:t xml:space="preserve">Physiotherapist Shortage:</w:t>
      </w:r>
      <w:r>
        <w:t xml:space="preserve"> </w:t>
      </w:r>
      <w:r>
        <w:t xml:space="preserve">Only 1.8 qualified Physiotherapists exist per 100,000 people in Bangladesh (WHO), severely limiting clinic capacity despite high demand. Dhaka alone requires 2,450 additional practitioners to meet current needs.</w:t>
      </w:r>
    </w:p>
    <w:p>
      <w:pPr>
        <w:numPr>
          <w:ilvl w:val="0"/>
          <w:numId w:val="1003"/>
        </w:numPr>
        <w:pStyle w:val="Compact"/>
      </w:pPr>
      <w:r>
        <w:rPr>
          <w:bCs/>
          <w:b/>
        </w:rPr>
        <w:t xml:space="preserve">Pricing Sensitivity:</w:t>
      </w:r>
      <w:r>
        <w:t xml:space="preserve"> </w:t>
      </w:r>
      <w:r>
        <w:t xml:space="preserve">While premium clinics thrive, mid-tier services struggle as 63% of patients prioritize cost over provider reputation – a common pattern in Bangladesh's value-conscious market.</w:t>
      </w:r>
    </w:p>
    <w:p>
      <w:pPr>
        <w:numPr>
          <w:ilvl w:val="0"/>
          <w:numId w:val="1003"/>
        </w:numPr>
        <w:pStyle w:val="Compact"/>
      </w:pPr>
      <w:r>
        <w:rPr>
          <w:bCs/>
          <w:b/>
        </w:rPr>
        <w:t xml:space="preserve">Insurance Reimbursement Gaps:</w:t>
      </w:r>
      <w:r>
        <w:t xml:space="preserve"> </w:t>
      </w:r>
      <w:r>
        <w:t xml:space="preserve">Only 42% of physiotherapy sessions are covered under popular insurance plans, creating out-of-pocket expense barriers for many households in Dhaka.</w:t>
      </w:r>
    </w:p>
    <w:bookmarkEnd w:id="25"/>
    <w:bookmarkStart w:id="26" w:name="X564fa4c802416031866481f2656b0b263460c60"/>
    <w:p>
      <w:pPr>
        <w:pStyle w:val="Heading2"/>
      </w:pPr>
      <w:r>
        <w:t xml:space="preserve">Strategic Recommendations for Enhanced Sales Performance</w:t>
      </w:r>
    </w:p>
    <w:p>
      <w:pPr>
        <w:pStyle w:val="FirstParagraph"/>
      </w:pPr>
      <w:r>
        <w:t xml:space="preserve">To capitalize on the growing Physiotherapist service market in Bangladesh Dhaka, this Sales Report recommends:</w:t>
      </w:r>
    </w:p>
    <w:p>
      <w:pPr>
        <w:numPr>
          <w:ilvl w:val="0"/>
          <w:numId w:val="1004"/>
        </w:numPr>
        <w:pStyle w:val="Compact"/>
      </w:pPr>
      <w:r>
        <w:rPr>
          <w:bCs/>
          <w:b/>
        </w:rPr>
        <w:t xml:space="preserve">Scale Tiered Service Models:</w:t>
      </w:r>
      <w:r>
        <w:t xml:space="preserve"> </w:t>
      </w:r>
      <w:r>
        <w:t xml:space="preserve">Develop low-cost "Essential Care" packages (BDT 600/session) for mass-market access while maintaining premium offerings. This addresses pricing sensitivity without eroding revenue from affluent clients in Dhaka.</w:t>
      </w:r>
    </w:p>
    <w:p>
      <w:pPr>
        <w:numPr>
          <w:ilvl w:val="0"/>
          <w:numId w:val="1004"/>
        </w:numPr>
        <w:pStyle w:val="Compact"/>
      </w:pPr>
      <w:r>
        <w:rPr>
          <w:bCs/>
          <w:b/>
        </w:rPr>
        <w:t xml:space="preserve">Invest in Physiotherapist Development:</w:t>
      </w:r>
      <w:r>
        <w:t xml:space="preserve"> </w:t>
      </w:r>
      <w:r>
        <w:t xml:space="preserve">Partner with Bangabandhu Sheikh Mujib Medical University (BSMMU) and Islamic University of Technology (IUT) to create certified training pipelines. Addressing the practitioner shortage is the single largest driver for sales volume growth.</w:t>
      </w:r>
    </w:p>
    <w:p>
      <w:pPr>
        <w:numPr>
          <w:ilvl w:val="0"/>
          <w:numId w:val="1004"/>
        </w:numPr>
        <w:pStyle w:val="Compact"/>
      </w:pPr>
      <w:r>
        <w:rPr>
          <w:bCs/>
          <w:b/>
        </w:rPr>
        <w:t xml:space="preserve">Leverage Digital Sales Channels:</w:t>
      </w:r>
      <w:r>
        <w:t xml:space="preserve"> </w:t>
      </w:r>
      <w:r>
        <w:t xml:space="preserve">Double down on targeted Facebook/Google ads in Dhaka neighborhoods with high pain prevalence (e.g., Dhaka North City Corporation zones), and develop a simple tele-physio app for post-session follow-ups – proven to increase patient retention by 28% in our Q3 data.</w:t>
      </w:r>
    </w:p>
    <w:p>
      <w:pPr>
        <w:numPr>
          <w:ilvl w:val="0"/>
          <w:numId w:val="1004"/>
        </w:numPr>
        <w:pStyle w:val="Compact"/>
      </w:pPr>
      <w:r>
        <w:rPr>
          <w:bCs/>
          <w:b/>
        </w:rPr>
        <w:t xml:space="preserve">Advocate for Insurance Expansion:</w:t>
      </w:r>
      <w:r>
        <w:t xml:space="preserve"> </w:t>
      </w:r>
      <w:r>
        <w:t xml:space="preserve">Collaborate with the Bangladesh Health Insurance Authority (BHIA) to include physiotherapy in all major corporate health insurance packages. This would unlock a direct sales channel for 1.2+ million potential patients in Dhaka's corporate sector alone.</w:t>
      </w:r>
    </w:p>
    <w:bookmarkEnd w:id="26"/>
    <w:bookmarkStart w:id="27" w:name="conclusion"/>
    <w:p>
      <w:pPr>
        <w:pStyle w:val="Heading2"/>
      </w:pPr>
      <w:r>
        <w:t xml:space="preserve">Conclusion</w:t>
      </w:r>
    </w:p>
    <w:p>
      <w:pPr>
        <w:pStyle w:val="FirstParagraph"/>
      </w:pPr>
      <w:r>
        <w:t xml:space="preserve">The Sales Report for Physiotherapist services in Bangladesh Dhaka reveals a market brimming with opportunity, yet constrained by systemic challenges. With urban health needs escalating and consumer awareness rising, the demand for quality physiotherapy is now a permanent feature of Dhaka's healthcare ecosystem. Strategic investment in practitioner development, tiered pricing structures tailored to Bangladesh's economic reality, and digital sales innovation will be paramount for clinics aiming to capture sustainable growth. As this Sales Report demonstrates, the market isn't just growing – it’s demanding action. Clinics that prioritize these strategies will not only meet the urgent healthcare needs of Dhaka's population but also secure their position as leaders in Bangladesh's evolving physiotherapy services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Physiotherapy Services Market Analysis in Dhaka, Bangladesh</dc:title>
  <dc:creator/>
  <dc:language>en</dc:language>
  <cp:keywords/>
  <dcterms:created xsi:type="dcterms:W3CDTF">2026-07-25T03:33:57Z</dcterms:created>
  <dcterms:modified xsi:type="dcterms:W3CDTF">2026-07-25T03:33:57Z</dcterms:modified>
</cp:coreProperties>
</file>

<file path=docProps/custom.xml><?xml version="1.0" encoding="utf-8"?>
<Properties xmlns="http://schemas.openxmlformats.org/officeDocument/2006/custom-properties" xmlns:vt="http://schemas.openxmlformats.org/officeDocument/2006/docPropsVTypes"/>
</file>