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Belgium</w:t>
      </w:r>
      <w:r>
        <w:t xml:space="preserve"> </w:t>
      </w:r>
      <w:r>
        <w:t xml:space="preserve">Brussels</w:t>
      </w:r>
      <w:r>
        <w:t xml:space="preserve"> </w:t>
      </w:r>
      <w:r>
        <w:t xml:space="preserve">Market</w:t>
      </w:r>
      <w:r>
        <w:t xml:space="preserve"> </w:t>
      </w:r>
      <w:r>
        <w:t xml:space="preserve">Analysis</w:t>
      </w:r>
    </w:p>
    <w:bookmarkStart w:id="27" w:name="X0fdbb411b76eca98eb29093a458a24aaac665b2"/>
    <w:p>
      <w:pPr>
        <w:pStyle w:val="Heading1"/>
      </w:pPr>
      <w:r>
        <w:t xml:space="preserve">Comprehensive Sales Report: Physiotherapy Sector Performance in Belgium Brussels (Q3 2023)</w:t>
      </w:r>
    </w:p>
    <w:bookmarkStart w:id="20" w:name="executive-summary"/>
    <w:p>
      <w:pPr>
        <w:pStyle w:val="Heading2"/>
      </w:pPr>
      <w:r>
        <w:t xml:space="preserve">Executive Summary</w:t>
      </w:r>
    </w:p>
    <w:p>
      <w:pPr>
        <w:pStyle w:val="FirstParagraph"/>
      </w:pPr>
      <w:r>
        <w:t xml:space="preserve">This Sales Report provides an in-depth analysis of the physiotherapy market landscape within Belgium Brussels, focusing on sales performance, client acquisition trends, and strategic opportunities. The Belgian capital represents a critical hub for healthcare innovation with over 450 licensed physiotherapists operating across private clinics, rehabilitation centers, and corporate wellness programs. As a leading supplier of clinical equipment and digital therapy solutions to this sector, our Q3 2023 sales performance reflects both market growth potential and unique regional challenges. This document underscores why targeted strategies for Belgium Brussels are essential for sustained business expansion.</w:t>
      </w:r>
    </w:p>
    <w:bookmarkEnd w:id="20"/>
    <w:bookmarkStart w:id="21" w:name="X0cde4782ef0865c05ba24b2a4d2b1c8a8cd5c27"/>
    <w:p>
      <w:pPr>
        <w:pStyle w:val="Heading2"/>
      </w:pPr>
      <w:r>
        <w:t xml:space="preserve">Market Context: Why Belgium Brussels Matters</w:t>
      </w:r>
    </w:p>
    <w:p>
      <w:pPr>
        <w:pStyle w:val="FirstParagraph"/>
      </w:pPr>
      <w:r>
        <w:t xml:space="preserve">Belgium Brussels serves as the political and economic epicenter of the European Union, driving unprecedented demand for specialized healthcare services. The region's aging population (18.7% over 65 years) combined with high occupational injury rates in EU institutions has created a 12% annual growth trajectory for physiotherapy services. Crucially, Brussels' unique legal framework mandates that all physiotherapists operate under strict</w:t>
      </w:r>
      <w:r>
        <w:t xml:space="preserve"> </w:t>
      </w:r>
      <w:r>
        <w:rPr>
          <w:iCs/>
          <w:i/>
        </w:rPr>
        <w:t xml:space="preserve">Belgium Brussels</w:t>
      </w:r>
      <w:r>
        <w:t xml:space="preserve"> </w:t>
      </w:r>
      <w:r>
        <w:t xml:space="preserve">regulatory compliance – including mandatory continuing education credits and specific equipment certifications. This creates both a barrier to entry and a premium opportunity for vendors who master local requirements.</w:t>
      </w:r>
    </w:p>
    <w:bookmarkEnd w:id="21"/>
    <w:bookmarkStart w:id="22" w:name="sales-performance-analysis-q3-2023"/>
    <w:p>
      <w:pPr>
        <w:pStyle w:val="Heading2"/>
      </w:pPr>
      <w:r>
        <w:t xml:space="preserve">Sales Performance Analysis (Q3 2023)</w:t>
      </w:r>
    </w:p>
    <w:p>
      <w:pPr>
        <w:pStyle w:val="FirstParagraph"/>
      </w:pPr>
      <w:r>
        <w:t xml:space="preserve">Our sales data reveals strong momentum in the Belgium Brussels physiotherapy sector:</w:t>
      </w:r>
    </w:p>
    <w:p>
      <w:pPr>
        <w:numPr>
          <w:ilvl w:val="0"/>
          <w:numId w:val="1001"/>
        </w:numPr>
        <w:pStyle w:val="Compact"/>
      </w:pPr>
      <w:r>
        <w:rPr>
          <w:bCs/>
          <w:b/>
        </w:rPr>
        <w:t xml:space="preserve">Revenue Growth:</w:t>
      </w:r>
      <w:r>
        <w:t xml:space="preserve"> </w:t>
      </w:r>
      <w:r>
        <w:t xml:space="preserve">€1.85M in Q3 (19% YoY increase), driven primarily by high-margin digital therapy platforms adopted by 62 clinics across Brussels</w:t>
      </w:r>
    </w:p>
    <w:p>
      <w:pPr>
        <w:numPr>
          <w:ilvl w:val="0"/>
          <w:numId w:val="1001"/>
        </w:numPr>
        <w:pStyle w:val="Compact"/>
      </w:pPr>
      <w:r>
        <w:rPr>
          <w:bCs/>
          <w:b/>
        </w:rPr>
        <w:t xml:space="preserve">New Client Acquisition:</w:t>
      </w:r>
      <w:r>
        <w:t xml:space="preserve"> </w:t>
      </w:r>
      <w:r>
        <w:t xml:space="preserve">47 new physiotherapy practices onboarded in Brussels, representing 34% of total European signings</w:t>
      </w:r>
    </w:p>
    <w:p>
      <w:pPr>
        <w:numPr>
          <w:ilvl w:val="0"/>
          <w:numId w:val="1001"/>
        </w:numPr>
        <w:pStyle w:val="Compact"/>
      </w:pPr>
      <w:r>
        <w:rPr>
          <w:bCs/>
          <w:b/>
        </w:rPr>
        <w:t xml:space="preserve">Product Demand Shift:</w:t>
      </w:r>
      <w:r>
        <w:t xml:space="preserve"> </w:t>
      </w:r>
      <w:r>
        <w:t xml:space="preserve">Increased focus on portable electrotherapy devices (+28%) and tele-rehabilitation software (+41%), aligning with Brussels' hybrid work culture</w:t>
      </w:r>
    </w:p>
    <w:p>
      <w:pPr>
        <w:numPr>
          <w:ilvl w:val="0"/>
          <w:numId w:val="1001"/>
        </w:numPr>
        <w:pStyle w:val="Compact"/>
      </w:pPr>
      <w:r>
        <w:rPr>
          <w:bCs/>
          <w:b/>
        </w:rPr>
        <w:t xml:space="preserve">Regional Disparity:</w:t>
      </w:r>
      <w:r>
        <w:t xml:space="preserve"> </w:t>
      </w:r>
      <w:r>
        <w:t xml:space="preserve">Western Brussels suburbs showed 23% higher equipment adoption than central districts due to better reimbursement rates for private clinics</w:t>
      </w:r>
    </w:p>
    <w:p>
      <w:pPr>
        <w:pStyle w:val="FirstParagraph"/>
      </w:pPr>
      <w:r>
        <w:t xml:space="preserve">The most significant trend is the surge in demand for</w:t>
      </w:r>
      <w:r>
        <w:t xml:space="preserve"> </w:t>
      </w:r>
      <w:r>
        <w:rPr>
          <w:iCs/>
          <w:i/>
        </w:rPr>
        <w:t xml:space="preserve">Belgium Brussels</w:t>
      </w:r>
      <w:r>
        <w:t xml:space="preserve">-certified solutions. Clinics now require all purchased equipment to comply with the 2022 Belgian Healthcare Standards (BHS-7), which our company achieved 100% compliance for. This certification directly influenced a 37% increase in closing rates with physiotherapists in the capital region.</w:t>
      </w:r>
    </w:p>
    <w:bookmarkEnd w:id="22"/>
    <w:bookmarkStart w:id="23" w:name="X1fc97bbf1be5c8b68b789507466447b5d889c10"/>
    <w:p>
      <w:pPr>
        <w:pStyle w:val="Heading2"/>
      </w:pPr>
      <w:r>
        <w:t xml:space="preserve">Key Challenges: Navigating Belgium Brussels' Unique Environment</w:t>
      </w:r>
    </w:p>
    <w:p>
      <w:pPr>
        <w:pStyle w:val="FirstParagraph"/>
      </w:pPr>
      <w:r>
        <w:t xml:space="preserve">Despite robust growth, our sales team identified three critical challenges specific to the Belgium Brussels market:</w:t>
      </w:r>
    </w:p>
    <w:p>
      <w:pPr>
        <w:numPr>
          <w:ilvl w:val="0"/>
          <w:numId w:val="1002"/>
        </w:numPr>
        <w:pStyle w:val="Compact"/>
      </w:pPr>
      <w:r>
        <w:rPr>
          <w:bCs/>
          <w:b/>
        </w:rPr>
        <w:t xml:space="preserve">Regulatory Fragmentation:</w:t>
      </w:r>
      <w:r>
        <w:t xml:space="preserve"> </w:t>
      </w:r>
      <w:r>
        <w:t xml:space="preserve">Physiotherapists in Brussels operate under both national Belgian law and EU-specific healthcare directives. This requires tailored product documentation – a process that delayed 15% of Q3 sales cycles as our team adapted to local certification requirements.</w:t>
      </w:r>
    </w:p>
    <w:p>
      <w:pPr>
        <w:numPr>
          <w:ilvl w:val="0"/>
          <w:numId w:val="1002"/>
        </w:numPr>
        <w:pStyle w:val="Compact"/>
      </w:pPr>
      <w:r>
        <w:rPr>
          <w:bCs/>
          <w:b/>
        </w:rPr>
        <w:t xml:space="preserve">Competitive Landscape:</w:t>
      </w:r>
      <w:r>
        <w:t xml:space="preserve"> </w:t>
      </w:r>
      <w:r>
        <w:t xml:space="preserve">Local brands like "Theraband Belgium" have captured 31% market share through aggressive pricing, primarily targeting new graduates. Our premium positioning necessitates demonstrating clear ROI through improved patient outcomes for physiotherapists in Brussels.</w:t>
      </w:r>
    </w:p>
    <w:p>
      <w:pPr>
        <w:numPr>
          <w:ilvl w:val="0"/>
          <w:numId w:val="1002"/>
        </w:numPr>
        <w:pStyle w:val="Compact"/>
      </w:pPr>
      <w:r>
        <w:rPr>
          <w:bCs/>
          <w:b/>
        </w:rPr>
        <w:t xml:space="preserve">Clinic Integration Complexity:</w:t>
      </w:r>
      <w:r>
        <w:t xml:space="preserve"> </w:t>
      </w:r>
      <w:r>
        <w:t xml:space="preserve">Major rehabilitation centers (e.g., Clinique Saint-Luc Brussels) require integrated systems with their EHRs. This has increased average sales cycle length by 18 days versus other European markets.</w:t>
      </w:r>
    </w:p>
    <w:bookmarkEnd w:id="23"/>
    <w:bookmarkStart w:id="24" w:name="X2b2798dd7eeccf3473590620cdb7e9381e4a523"/>
    <w:p>
      <w:pPr>
        <w:pStyle w:val="Heading2"/>
      </w:pPr>
      <w:r>
        <w:t xml:space="preserve">Strategic Recommendations for Physiotherapist Market Dominance</w:t>
      </w:r>
    </w:p>
    <w:p>
      <w:pPr>
        <w:pStyle w:val="FirstParagraph"/>
      </w:pPr>
      <w:r>
        <w:t xml:space="preserve">To capitalize on Belgium Brussels' growth potential, we propose the following actions:</w:t>
      </w:r>
    </w:p>
    <w:p>
      <w:pPr>
        <w:numPr>
          <w:ilvl w:val="0"/>
          <w:numId w:val="1003"/>
        </w:numPr>
        <w:pStyle w:val="Compact"/>
      </w:pPr>
      <w:r>
        <w:rPr>
          <w:bCs/>
          <w:b/>
        </w:rPr>
        <w:t xml:space="preserve">Localized Compliance Hub:</w:t>
      </w:r>
      <w:r>
        <w:t xml:space="preserve"> </w:t>
      </w:r>
      <w:r>
        <w:t xml:space="preserve">Establish a dedicated Belgium Brussels regulatory team to handle BHS-7 certification, reducing sales cycle friction by 30%. This investment will position us as the market leader in compliant solutions.</w:t>
      </w:r>
    </w:p>
    <w:p>
      <w:pPr>
        <w:numPr>
          <w:ilvl w:val="0"/>
          <w:numId w:val="1003"/>
        </w:numPr>
        <w:pStyle w:val="Compact"/>
      </w:pPr>
      <w:r>
        <w:rPr>
          <w:bCs/>
          <w:b/>
        </w:rPr>
        <w:t xml:space="preserve">Clinic Partnership Program:</w:t>
      </w:r>
      <w:r>
        <w:t xml:space="preserve"> </w:t>
      </w:r>
      <w:r>
        <w:t xml:space="preserve">Develop tiered pricing for physiotherapists based on clinic size – a model successfully piloted with 12 Brussels clinics achieving 92% renewal rates.</w:t>
      </w:r>
    </w:p>
    <w:p>
      <w:pPr>
        <w:numPr>
          <w:ilvl w:val="0"/>
          <w:numId w:val="1003"/>
        </w:numPr>
        <w:pStyle w:val="Compact"/>
      </w:pPr>
      <w:r>
        <w:rPr>
          <w:bCs/>
          <w:b/>
        </w:rPr>
        <w:t xml:space="preserve">Digital Integration Focus:</w:t>
      </w:r>
      <w:r>
        <w:t xml:space="preserve"> </w:t>
      </w:r>
      <w:r>
        <w:t xml:space="preserve">Accelerate development of interoperable tele-rehab software to meet Brussels' rising demand for remote physiotherapy sessions (now accounting for 34% of all treatments).</w:t>
      </w:r>
    </w:p>
    <w:p>
      <w:pPr>
        <w:numPr>
          <w:ilvl w:val="0"/>
          <w:numId w:val="1003"/>
        </w:numPr>
        <w:pStyle w:val="Compact"/>
      </w:pPr>
      <w:r>
        <w:rPr>
          <w:bCs/>
          <w:b/>
        </w:rPr>
        <w:t xml:space="preserve">Professional Network Expansion:</w:t>
      </w:r>
      <w:r>
        <w:t xml:space="preserve"> </w:t>
      </w:r>
      <w:r>
        <w:t xml:space="preserve">Sponsor the "Brussels Physiotherapists Association" annual conference in October, securing prime exhibition space to directly engage with 500+ practitioners.</w:t>
      </w:r>
    </w:p>
    <w:bookmarkEnd w:id="24"/>
    <w:bookmarkStart w:id="25" w:name="X6ea5ac2567880f7016ad3a9b8a1048702ddad84"/>
    <w:p>
      <w:pPr>
        <w:pStyle w:val="Heading2"/>
      </w:pPr>
      <w:r>
        <w:t xml:space="preserve">Future Outlook: Belgium Brussels as a Growth Catalyst</w:t>
      </w:r>
    </w:p>
    <w:p>
      <w:pPr>
        <w:pStyle w:val="FirstParagraph"/>
      </w:pPr>
      <w:r>
        <w:t xml:space="preserve">The Belgian government's 2030 healthcare strategy prioritizes musculoskeletal health, allocating €17.8M annually for physiotherapy infrastructure – with Brussels receiving 43% of national funding. This creates an ideal environment for vendors who understand local nuances. By Q4 2024, we project the Belgium Brussels physiotherapy market to reach €58M in service value, representing 19% of Belgium's total physiotherapy revenue.</w:t>
      </w:r>
    </w:p>
    <w:p>
      <w:pPr>
        <w:pStyle w:val="BodyText"/>
      </w:pPr>
      <w:r>
        <w:t xml:space="preserve">Crucially, our data shows that physiotherapists in Brussels are now prioritizing solutions that demonstrate clinical impact over price. A recent survey of 200 Brussels practitioners revealed: "We need technology that proves patient outcomes improve – not just cheaper equipment." This shift aligns perfectly with our digital therapy platform's evidence-based design, positioning us to capture market share through measurable results rather than price competition.</w:t>
      </w:r>
    </w:p>
    <w:bookmarkEnd w:id="25"/>
    <w:bookmarkStart w:id="26" w:name="conclusion-the-brussels-advantage"/>
    <w:p>
      <w:pPr>
        <w:pStyle w:val="Heading2"/>
      </w:pPr>
      <w:r>
        <w:t xml:space="preserve">Conclusion: The Brussels Advantage</w:t>
      </w:r>
    </w:p>
    <w:p>
      <w:pPr>
        <w:pStyle w:val="FirstParagraph"/>
      </w:pPr>
      <w:r>
        <w:t xml:space="preserve">This Sales Report confirms that Belgium Brussels is not merely a regional market – it's a strategic bellwether for the entire European physiotherapy sector. Our Q3 performance demonstrates how deep understanding of local regulations (BHS-7), cultural expectations (Brussels' EU-centric healthcare culture), and clinical needs drives superior sales outcomes. As we navigate the complexities of</w:t>
      </w:r>
      <w:r>
        <w:t xml:space="preserve"> </w:t>
      </w:r>
      <w:r>
        <w:rPr>
          <w:iCs/>
          <w:i/>
        </w:rPr>
        <w:t xml:space="preserve">Belgium Brussels</w:t>
      </w:r>
      <w:r>
        <w:t xml:space="preserve">, our commitment to regulatory excellence and outcome-focused solutions will solidify our position as the preferred partner for physiotherapists across the capital region.</w:t>
      </w:r>
    </w:p>
    <w:p>
      <w:pPr>
        <w:pStyle w:val="BodyText"/>
      </w:pPr>
      <w:r>
        <w:t xml:space="preserve">Investing in Belgium Brussels is investing in Europe's healthcare future. With 12,000+ physiotherapy jobs projected in the region by 2026, our strategic focus on this market isn't just advantageous – it's essential for sustained growth. The data is clear: The most successful</w:t>
      </w:r>
      <w:r>
        <w:t xml:space="preserve"> </w:t>
      </w:r>
      <w:r>
        <w:rPr>
          <w:iCs/>
          <w:i/>
        </w:rPr>
        <w:t xml:space="preserve">Physiotherapist</w:t>
      </w:r>
      <w:r>
        <w:t xml:space="preserve"> </w:t>
      </w:r>
      <w:r>
        <w:t xml:space="preserve">service providers in Belgium Brussels will be those who master the unique intersection of local compliance, clinical innovation, and patient outcomes.</w:t>
      </w:r>
    </w:p>
    <w:p>
      <w:pPr>
        <w:pStyle w:val="BodyText"/>
      </w:pPr>
      <w:r>
        <w:rPr>
          <w:bCs/>
          <w:b/>
        </w:rPr>
        <w:t xml:space="preserve">Prepared By:</w:t>
      </w:r>
      <w:r>
        <w:t xml:space="preserve"> </w:t>
      </w:r>
      <w:r>
        <w:t xml:space="preserve">European Healthcare Solutions Division</w:t>
      </w:r>
      <w:r>
        <w:br/>
      </w:r>
      <w:r>
        <w:rPr>
          <w:bCs/>
          <w:b/>
        </w:rPr>
        <w:t xml:space="preserve">Date:</w:t>
      </w:r>
      <w:r>
        <w:t xml:space="preserve"> </w:t>
      </w:r>
      <w:r>
        <w:t xml:space="preserve">October 26, 2023</w:t>
      </w:r>
      <w:r>
        <w:br/>
      </w:r>
      <w:r>
        <w:rPr>
          <w:bCs/>
          <w:b/>
        </w:rPr>
        <w:t xml:space="preserve">Report Scope:</w:t>
      </w:r>
      <w:r>
        <w:t xml:space="preserve"> </w:t>
      </w:r>
      <w:r>
        <w:t xml:space="preserve">Belgium Brussels Physiotherapy Sector Sales Analysis (Q1-Q3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Belgium Brussels Market Analysis</dc:title>
  <dc:creator/>
  <dc:language>en</dc:language>
  <cp:keywords/>
  <dcterms:created xsi:type="dcterms:W3CDTF">2026-07-21T02:47:54Z</dcterms:created>
  <dcterms:modified xsi:type="dcterms:W3CDTF">2026-07-21T02:47:54Z</dcterms:modified>
</cp:coreProperties>
</file>

<file path=docProps/custom.xml><?xml version="1.0" encoding="utf-8"?>
<Properties xmlns="http://schemas.openxmlformats.org/officeDocument/2006/custom-properties" xmlns:vt="http://schemas.openxmlformats.org/officeDocument/2006/docPropsVTypes"/>
</file>