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8" w:name="X7baeea5fa78e9bfde1641b7b80ff1ff7326ffd5"/>
    <w:p>
      <w:pPr>
        <w:pStyle w:val="Heading1"/>
      </w:pPr>
      <w:r>
        <w:t xml:space="preserve">Comprehensive Sales Report: Physiotherapy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Bogotá Physiotherapy Network</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an in-depth analysis of physiotherapy service performance across our clinics in Colombia Bogotá during the third quarter of 2023. Despite regional economic fluctuations, our network achieved a remarkable 18.7% year-over-year revenue growth, totaling COP 458.2 million (approximately USD $114,500). This success underscores Bogotá's growing demand for specialized physiotherapy services and validates our strategic focus on evidence-based rehabilitation solutions within Colombia's largest metropolitan market. The report highlights key performance indicators, patient acquisition trends, service line profitability, and actionable recommendations to sustain momentum in this competitive healthcare landscape.</w:t>
      </w:r>
    </w:p>
    <w:bookmarkEnd w:id="20"/>
    <w:bookmarkStart w:id="21" w:name="X0aa03e0fc3567390a785131ac5f2d0f7c8b1987"/>
    <w:p>
      <w:pPr>
        <w:pStyle w:val="Heading2"/>
      </w:pPr>
      <w:r>
        <w:t xml:space="preserve">Market Context: Physiotherapy Demand in Bogotá</w:t>
      </w:r>
    </w:p>
    <w:p>
      <w:pPr>
        <w:pStyle w:val="FirstParagraph"/>
      </w:pPr>
      <w:r>
        <w:t xml:space="preserve">Bogotá represents Colombia's healthcare epicenter with 7.5 million residents and a rapidly aging population (16.4% aged 60+), driving unprecedented demand for physiotherapy services. According to the Colombian Ministry of Health (2023), Bogotá accounts for 34% of all physiotherapy consultations nationally, with an annual growth rate of 9.8%. This trend is amplified by rising workplace injuries from Colombia's urban industrialization and increased awareness following national health campaigns promoting physical rehabilitation. Our Sales Report confirms that Bogotá's market has evolved beyond basic post-injury care to include specialized services like sports physiotherapy (up 22% YoY), geriatric mobility programs (31% growth), and digital rehabilitation solutions – all critical differentiators for modern physiotherapists operating in Colombia Bogotá.</w:t>
      </w:r>
    </w:p>
    <w:bookmarkEnd w:id="21"/>
    <w:bookmarkStart w:id="22" w:name="q3-2023-sales-performance-analysis"/>
    <w:p>
      <w:pPr>
        <w:pStyle w:val="Heading2"/>
      </w:pPr>
      <w:r>
        <w:t xml:space="preserve">Q3 2023 Sales Performance Analysis</w:t>
      </w:r>
    </w:p>
    <w:p>
      <w:pPr>
        <w:pStyle w:val="FirstParagraph"/>
      </w:pPr>
      <w:r>
        <w:t xml:space="preserve">Our sales performance in Colombia Bogotá demonstrates exceptional market penetration across all service lines:</w:t>
      </w:r>
    </w:p>
    <w:p>
      <w:pPr>
        <w:numPr>
          <w:ilvl w:val="0"/>
          <w:numId w:val="1001"/>
        </w:numPr>
        <w:pStyle w:val="Compact"/>
      </w:pPr>
      <w:r>
        <w:rPr>
          <w:bCs/>
          <w:b/>
        </w:rPr>
        <w:t xml:space="preserve">Revenue Growth:</w:t>
      </w:r>
      <w:r>
        <w:t xml:space="preserve"> </w:t>
      </w:r>
      <w:r>
        <w:t xml:space="preserve">Total revenue reached COP 458.2M (18.7% YoY), exceeding Q3 targets by 12.3%. This growth stems from both expanded patient volume (+24.1%) and strategic pricing adjustments in high-demand specialty services.</w:t>
      </w:r>
    </w:p>
    <w:p>
      <w:pPr>
        <w:numPr>
          <w:ilvl w:val="0"/>
          <w:numId w:val="1001"/>
        </w:numPr>
        <w:pStyle w:val="Compact"/>
      </w:pPr>
      <w:r>
        <w:rPr>
          <w:bCs/>
          <w:b/>
        </w:rPr>
        <w:t xml:space="preserve">Service Line Breakdown:</w:t>
      </w:r>
    </w:p>
    <w:p>
      <w:pPr>
        <w:numPr>
          <w:ilvl w:val="1"/>
          <w:numId w:val="1002"/>
        </w:numPr>
        <w:pStyle w:val="Compact"/>
      </w:pPr>
      <w:r>
        <w:t xml:space="preserve">Sports Rehabilitation: COP 187M (40.8% of revenue) - Driven by partnerships with 12 professional sports teams across Bogotá</w:t>
      </w:r>
    </w:p>
    <w:p>
      <w:pPr>
        <w:numPr>
          <w:ilvl w:val="1"/>
          <w:numId w:val="1002"/>
        </w:numPr>
        <w:pStyle w:val="Compact"/>
      </w:pPr>
      <w:r>
        <w:t xml:space="preserve">Chronic Pain Management: COP 152M (33.2%) - Supported by new insurance network agreements with Eps Aetna and Sura</w:t>
      </w:r>
    </w:p>
    <w:p>
      <w:pPr>
        <w:numPr>
          <w:ilvl w:val="1"/>
          <w:numId w:val="1002"/>
        </w:numPr>
        <w:pStyle w:val="Compact"/>
      </w:pPr>
      <w:r>
        <w:t xml:space="preserve">Geriatric Mobility Programs: COP 89M (19.4%) - Capitalizing on Bogotá's aging population trend</w:t>
      </w:r>
    </w:p>
    <w:p>
      <w:pPr>
        <w:numPr>
          <w:ilvl w:val="1"/>
          <w:numId w:val="1002"/>
        </w:numPr>
        <w:pStyle w:val="Compact"/>
      </w:pPr>
      <w:r>
        <w:t xml:space="preserve">Digital Therapy Platforms: COP 30M (6.6%) - Rapid adoption of our tele-rehab app, "Movilidad Bogotá"</w:t>
      </w:r>
    </w:p>
    <w:bookmarkEnd w:id="22"/>
    <w:bookmarkStart w:id="23" w:name="X9f14affa2f2c74c3e0497f1f52a97a5812570fb"/>
    <w:p>
      <w:pPr>
        <w:pStyle w:val="Heading2"/>
      </w:pPr>
      <w:r>
        <w:t xml:space="preserve">Regional Sales Performance: Bogotá Districts</w:t>
      </w:r>
    </w:p>
    <w:p>
      <w:pPr>
        <w:pStyle w:val="FirstParagraph"/>
      </w:pPr>
      <w:r>
        <w:t xml:space="preserve">Sales distribution across Bogotá's districts reveals strategic insights for our physiotherapist network:</w:t>
      </w:r>
    </w:p>
    <w:p>
      <w:pPr>
        <w:pStyle w:val="BodyText"/>
      </w:pPr>
      <w:r>
        <w:t xml:space="preserve">District</w:t>
      </w:r>
    </w:p>
    <w:p>
      <w:pPr>
        <w:pStyle w:val="BodyText"/>
      </w:pPr>
      <w:r>
        <w:t xml:space="preserve">Revenue (COP)</w:t>
      </w:r>
    </w:p>
    <w:p>
      <w:pPr>
        <w:pStyle w:val="BodyText"/>
      </w:pPr>
      <w:r>
        <w:t xml:space="preserve">Growth vs. Q2</w:t>
      </w:r>
    </w:p>
    <w:p>
      <w:pPr>
        <w:pStyle w:val="BodyText"/>
      </w:pPr>
      <w:r>
        <w:t xml:space="preserve">Key Service Drivers</w:t>
      </w:r>
    </w:p>
    <w:p>
      <w:pPr>
        <w:pStyle w:val="BodyText"/>
      </w:pPr>
      <w:r>
        <w:t xml:space="preserve">Chapinero</w:t>
      </w:r>
    </w:p>
    <w:p>
      <w:pPr>
        <w:pStyle w:val="BodyText"/>
      </w:pPr>
      <w:r>
        <w:t xml:space="preserve">COP 112M</w:t>
      </w:r>
    </w:p>
    <w:p>
      <w:pPr>
        <w:pStyle w:val="BodyText"/>
      </w:pPr>
      <w:r>
        <w:t xml:space="preserve">+15.3%</w:t>
      </w:r>
    </w:p>
    <w:p>
      <w:pPr>
        <w:pStyle w:val="BodyText"/>
      </w:pPr>
      <w:r>
        <w:t xml:space="preserve">Sports rehab, corporate wellness programs</w:t>
      </w:r>
    </w:p>
    <w:p>
      <w:pPr>
        <w:pStyle w:val="BodyText"/>
      </w:pPr>
      <w:r>
        <w:t xml:space="preserve">Bosa</w:t>
      </w:r>
    </w:p>
    <w:p>
      <w:pPr>
        <w:pStyle w:val="BodyText"/>
      </w:pPr>
      <w:r>
        <w:t xml:space="preserve">COP 98M</w:t>
      </w:r>
    </w:p>
    <w:p>
      <w:pPr>
        <w:pStyle w:val="BodyText"/>
      </w:pPr>
      <w:r>
        <w:t xml:space="preserve">Revenue (COP)</w:t>
      </w:r>
    </w:p>
    <w:p>
      <w:pPr>
        <w:pStyle w:val="BodyText"/>
      </w:pPr>
      <w:r>
        <w:t xml:space="preserve">Growth vs. Q2</w:t>
      </w:r>
    </w:p>
    <w:p>
      <w:pPr>
        <w:pStyle w:val="BodyText"/>
      </w:pPr>
      <w:r>
        <w:t xml:space="preserve">Key Service Drivers</w:t>
      </w:r>
    </w:p>
    <w:bookmarkEnd w:id="23"/>
    <w:bookmarkStart w:id="24" w:name="X11df2a7a1c4081b87cf2c6f27c69c6fd7fe0d45"/>
    <w:p>
      <w:pPr>
        <w:pStyle w:val="Heading2"/>
      </w:pPr>
      <w:r>
        <w:t xml:space="preserve">Challenges in Colombia Bogotá's Physiotherapy Market</w:t>
      </w:r>
    </w:p>
    <w:p>
      <w:pPr>
        <w:pStyle w:val="FirstParagraph"/>
      </w:pPr>
      <w:r>
        <w:t xml:space="preserve">Our Sales Report identifies critical challenges requiring immediate attention:</w:t>
      </w:r>
    </w:p>
    <w:p>
      <w:pPr>
        <w:numPr>
          <w:ilvl w:val="0"/>
          <w:numId w:val="1003"/>
        </w:numPr>
        <w:pStyle w:val="Compact"/>
      </w:pPr>
      <w:r>
        <w:rPr>
          <w:bCs/>
          <w:b/>
        </w:rPr>
        <w:t xml:space="preserve">Regulatory Compliance Costs:</w:t>
      </w:r>
      <w:r>
        <w:t xml:space="preserve"> </w:t>
      </w:r>
      <w:r>
        <w:t xml:space="preserve">New healthcare regulations (Resolución 1468 de 2023) increased operational costs by 7.5% for our Bogotá physiotherapist clinics, squeezing margins in basic service lines.</w:t>
      </w:r>
    </w:p>
    <w:p>
      <w:pPr>
        <w:numPr>
          <w:ilvl w:val="0"/>
          <w:numId w:val="1003"/>
        </w:numPr>
        <w:pStyle w:val="Compact"/>
      </w:pPr>
      <w:r>
        <w:rPr>
          <w:bCs/>
          <w:b/>
        </w:rPr>
        <w:t xml:space="preserve">Talent Acquisition:</w:t>
      </w:r>
      <w:r>
        <w:t xml:space="preserve"> </w:t>
      </w:r>
      <w:r>
        <w:t xml:space="preserve">Competition for certified physiotherapists in Colombia Bogotá has intensified, with clinic vacancies rising 19% YoY. This impacts service availability during peak demand periods (July–August).</w:t>
      </w:r>
    </w:p>
    <w:p>
      <w:pPr>
        <w:numPr>
          <w:ilvl w:val="0"/>
          <w:numId w:val="1003"/>
        </w:numPr>
        <w:pStyle w:val="Compact"/>
      </w:pPr>
      <w:r>
        <w:rPr>
          <w:bCs/>
          <w:b/>
        </w:rPr>
        <w:t xml:space="preserve">Patient Cost Sensitivity:</w:t>
      </w:r>
      <w:r>
        <w:t xml:space="preserve"> </w:t>
      </w:r>
      <w:r>
        <w:t xml:space="preserve">Inflationary pressures have reduced patient willingness to pay for non-essential rehabilitation services, requiring innovative payment plans.</w:t>
      </w:r>
    </w:p>
    <w:bookmarkEnd w:id="24"/>
    <w:bookmarkStart w:id="25" w:name="strategic-opportunities-for-growth"/>
    <w:p>
      <w:pPr>
        <w:pStyle w:val="Heading2"/>
      </w:pPr>
      <w:r>
        <w:t xml:space="preserve">Strategic Opportunities for Growth</w:t>
      </w:r>
    </w:p>
    <w:p>
      <w:pPr>
        <w:pStyle w:val="FirstParagraph"/>
      </w:pPr>
      <w:r>
        <w:t xml:space="preserve">Based on our Q3 data, we recommend prioritizing these high-impact opportunities in Colombia Bogotá:</w:t>
      </w:r>
    </w:p>
    <w:p>
      <w:pPr>
        <w:numPr>
          <w:ilvl w:val="0"/>
          <w:numId w:val="1004"/>
        </w:numPr>
        <w:pStyle w:val="Compact"/>
      </w:pPr>
      <w:r>
        <w:rPr>
          <w:bCs/>
          <w:b/>
        </w:rPr>
        <w:t xml:space="preserve">Corporate Wellness Expansion:</w:t>
      </w:r>
      <w:r>
        <w:t xml:space="preserve"> </w:t>
      </w:r>
      <w:r>
        <w:t xml:space="preserve">Partner with 5 new multinational corporations in Bogotá's financial district (currently at 8 clients) to develop tailored physiotherapy programs. Projected revenue: +COP 200M annually.</w:t>
      </w:r>
    </w:p>
    <w:p>
      <w:pPr>
        <w:numPr>
          <w:ilvl w:val="0"/>
          <w:numId w:val="1004"/>
        </w:numPr>
        <w:pStyle w:val="Compact"/>
      </w:pPr>
      <w:r>
        <w:rPr>
          <w:bCs/>
          <w:b/>
        </w:rPr>
        <w:t xml:space="preserve">Digital Service Integration:</w:t>
      </w:r>
      <w:r>
        <w:t xml:space="preserve"> </w:t>
      </w:r>
      <w:r>
        <w:t xml:space="preserve">Launch "Physio+App" for real-time progress tracking – a solution in high demand based on our Bogotá patient surveys (87% expressed interest).</w:t>
      </w:r>
    </w:p>
    <w:bookmarkEnd w:id="25"/>
    <w:bookmarkStart w:id="26" w:name="physiotherapist-performance-metrics"/>
    <w:p>
      <w:pPr>
        <w:pStyle w:val="Heading2"/>
      </w:pPr>
      <w:r>
        <w:t xml:space="preserve">Physiotherapist Performance Metrics</w:t>
      </w:r>
    </w:p>
    <w:p>
      <w:pPr>
        <w:pStyle w:val="FirstParagraph"/>
      </w:pPr>
      <w:r>
        <w:t xml:space="preserve">The success of our Sales Report hinges on clinical excellence. Our physiotherapists consistently deliver exceptional results:</w:t>
      </w:r>
    </w:p>
    <w:p>
      <w:pPr>
        <w:numPr>
          <w:ilvl w:val="0"/>
          <w:numId w:val="1005"/>
        </w:numPr>
        <w:pStyle w:val="Compact"/>
      </w:pPr>
      <w:r>
        <w:t xml:space="preserve">Patient satisfaction scores: 94.7% (vs. Bogotá industry avg: 86%)</w:t>
      </w:r>
    </w:p>
    <w:p>
      <w:pPr>
        <w:numPr>
          <w:ilvl w:val="0"/>
          <w:numId w:val="1005"/>
        </w:numPr>
        <w:pStyle w:val="Compact"/>
      </w:pPr>
      <w:r>
        <w:t xml:space="preserve">Rehabilitation completion rate: 89.2% (vs. national avg: 76%)</w:t>
      </w:r>
    </w:p>
    <w:p>
      <w:pPr>
        <w:numPr>
          <w:ilvl w:val="0"/>
          <w:numId w:val="1005"/>
        </w:numPr>
        <w:pStyle w:val="Compact"/>
      </w:pPr>
      <w:r>
        <w:t xml:space="preserve">Service line revenue per physiotherapist: COP 385M/month – outperforming Bogotá market average by 22%</w:t>
      </w:r>
    </w:p>
    <w:bookmarkEnd w:id="26"/>
    <w:bookmarkStart w:id="27" w:name="conclusion-and-forward-strategy"/>
    <w:p>
      <w:pPr>
        <w:pStyle w:val="Heading2"/>
      </w:pPr>
      <w:r>
        <w:t xml:space="preserve">Conclusion and Forward Strategy</w:t>
      </w:r>
    </w:p>
    <w:p>
      <w:pPr>
        <w:pStyle w:val="FirstParagraph"/>
      </w:pPr>
      <w:r>
        <w:t xml:space="preserve">This comprehensive Sales Report confirms that our physiotherapy services are strategically positioned to lead in Colombia Bogotá's dynamic healthcare market. The 18.7% revenue growth in Q3 demonstrates strong patient trust and clinical efficacy – hallmarks of our physiotherapists' practice. To sustain this momentum, we recommend:</w:t>
      </w:r>
    </w:p>
    <w:p>
      <w:pPr>
        <w:numPr>
          <w:ilvl w:val="0"/>
          <w:numId w:val="1006"/>
        </w:numPr>
        <w:pStyle w:val="Compact"/>
      </w:pPr>
      <w:r>
        <w:t xml:space="preserve">Allocating 25% of Q4 budget to digital platform development for enhanced patient engagement in Bogotá</w:t>
      </w:r>
    </w:p>
    <w:p>
      <w:pPr>
        <w:numPr>
          <w:ilvl w:val="0"/>
          <w:numId w:val="1006"/>
        </w:numPr>
        <w:pStyle w:val="Compact"/>
      </w:pPr>
      <w:r>
        <w:t xml:space="preserve">Establishing a talent pipeline initiative with Universidad Nacional de Colombia's physiotherapy program to address regional shortages</w:t>
      </w:r>
    </w:p>
    <w:p>
      <w:pPr>
        <w:numPr>
          <w:ilvl w:val="0"/>
          <w:numId w:val="1006"/>
        </w:numPr>
        <w:pStyle w:val="Compact"/>
      </w:pPr>
      <w:r>
        <w:t xml:space="preserve">Developing insurance partnership frameworks specifically for chronic pain management services, targeting 20% market share by Q1 2024</w:t>
      </w:r>
    </w:p>
    <w:p>
      <w:pPr>
        <w:pStyle w:val="FirstParagraph"/>
      </w:pPr>
      <w:r>
        <w:t xml:space="preserve">As Colombia Bogotá continues to prioritize accessible, high-quality rehabilitation care, our network's commitment to clinical innovation and patient-centered service will remain the cornerstone of our competitive advantage. This Sales Report affirms that by leveraging data-driven strategies – particularly in sports physiotherapy, geriatric care, and digital integration – we are not merely participating in Bogotá's healthcare ecosystem but actively shaping its future. Our physiotherapists' clinical expertise combined with strategic business acumen positions us for sustained growth as Colombia's premier rehabilitation provider.</w:t>
      </w:r>
    </w:p>
    <w:p>
      <w:pPr>
        <w:pStyle w:val="BodyText"/>
      </w:pPr>
      <w:r>
        <w:rPr>
          <w:bCs/>
          <w:b/>
        </w:rPr>
        <w:t xml:space="preserve">Prepared by:</w:t>
      </w:r>
      <w:r>
        <w:t xml:space="preserve"> </w:t>
      </w:r>
      <w:r>
        <w:t xml:space="preserve">Bogotá Sales Intelligence Unit</w:t>
      </w:r>
    </w:p>
    <w:p>
      <w:pPr>
        <w:pStyle w:val="BodyText"/>
      </w:pPr>
      <w:r>
        <w:rPr>
          <w:bCs/>
          <w:b/>
        </w:rPr>
        <w:t xml:space="preserve">Confidentiality Notice:</w:t>
      </w:r>
      <w:r>
        <w:t xml:space="preserve"> </w:t>
      </w:r>
      <w:r>
        <w:t xml:space="preserve">This Sales Report contains proprietary information of Bogotá Physiotherapy Network, strictly for internal use in Colombia.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 Colombia Bogotá</dc:title>
  <dc:creator/>
  <dc:language>en</dc:language>
  <cp:keywords/>
  <dcterms:created xsi:type="dcterms:W3CDTF">2026-07-23T20:12:07Z</dcterms:created>
  <dcterms:modified xsi:type="dcterms:W3CDTF">2026-07-23T20:12:07Z</dcterms:modified>
</cp:coreProperties>
</file>

<file path=docProps/custom.xml><?xml version="1.0" encoding="utf-8"?>
<Properties xmlns="http://schemas.openxmlformats.org/officeDocument/2006/custom-properties" xmlns:vt="http://schemas.openxmlformats.org/officeDocument/2006/docPropsVTypes"/>
</file>