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Baghdad,</w:t>
      </w:r>
      <w:r>
        <w:t xml:space="preserve"> </w:t>
      </w:r>
      <w:r>
        <w:t xml:space="preserve">Iraq</w:t>
      </w:r>
    </w:p>
    <w:bookmarkStart w:id="26" w:name="X7d3b23debd05377bce0a9418322e78b2784b05b"/>
    <w:p>
      <w:pPr>
        <w:pStyle w:val="Heading1"/>
      </w:pPr>
      <w:r>
        <w:t xml:space="preserve">SALES REPORT: PHYSIOTHERAPY SERVICES IN BAGHDAD, IRAQ</w:t>
      </w:r>
    </w:p>
    <w:p>
      <w:pPr>
        <w:pStyle w:val="FirstParagraph"/>
      </w:pPr>
      <w:r>
        <w:t xml:space="preserve">Prepared for Executive Management | Date: October 26, 2023</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Baghdad, Iraq, during Q3 2023. The report confirms significant market growth potential for qualified physiotherapist professionals in our region, with a 37% year-over-year sales increase. Despite operational challenges unique to Iraq Baghdad's healthcare landscape, strategic investments in local partnerships and culturally sensitive service delivery have positioned us to capture substantial market share. This document serves as both an operational assessment and growth roadmap for expanding our physiotherapy services across the Iraqi capital.</w:t>
      </w:r>
    </w:p>
    <w:bookmarkEnd w:id="20"/>
    <w:bookmarkStart w:id="21" w:name="X2922390f8d05f8276bc9ec0922f9e9ba1bcb97b"/>
    <w:p>
      <w:pPr>
        <w:pStyle w:val="Heading2"/>
      </w:pPr>
      <w:r>
        <w:t xml:space="preserve">Market Analysis: Baghdad's Physiotherapy Demand</w:t>
      </w:r>
    </w:p>
    <w:p>
      <w:pPr>
        <w:pStyle w:val="FirstParagraph"/>
      </w:pPr>
      <w:r>
        <w:t xml:space="preserve">Baghdad's healthcare market presents unprecedented opportunities for physiotherapy services, driven by three critical factors. First, the post-conflict rehabilitation needs of over 450,000 Iraqis requiring long-term physical therapy following injuries sustained during military operations and civil unrest (World Health Organization, 2023). Second, the rising prevalence of chronic conditions such as diabetes and cardiovascular disease—linked to lifestyle changes—creating a growing demand for preventative physiotherapy programs. Third, government initiatives like the Ministry of Health's "National Rehabilitation Program" have allocated $18 million specifically for physiotherapy services across Baghdad's public healthcare facilities this year.</w:t>
      </w:r>
    </w:p>
    <w:p>
      <w:pPr>
        <w:pStyle w:val="BodyText"/>
      </w:pPr>
      <w:r>
        <w:t xml:space="preserve">Our market research confirms that only 12% of Baghdad's population currently accesses professional physiotherapy services, compared to a regional average of 45%. This gap represents a massive untapped opportunity. The most sought-after services include orthopedic rehabilitation (42% of demand), neurological recovery programs (31%), and sports injury treatment (18%). Notably, our data shows that 76% of patients in Baghdad prefer female physiotherapist professionals due to cultural norms—significantly impacting our staffing strategy.</w:t>
      </w:r>
    </w:p>
    <w:bookmarkEnd w:id="21"/>
    <w:bookmarkStart w:id="22" w:name="q3-2023-sales-performance"/>
    <w:p>
      <w:pPr>
        <w:pStyle w:val="Heading2"/>
      </w:pPr>
      <w:r>
        <w:t xml:space="preserve">Q3 2023 Sales Performance</w:t>
      </w:r>
    </w:p>
    <w:p>
      <w:pPr>
        <w:pStyle w:val="FirstParagraph"/>
      </w:pPr>
      <w:r>
        <w:t xml:space="preserve">Service Category</w:t>
      </w:r>
    </w:p>
    <w:p>
      <w:pPr>
        <w:pStyle w:val="BodyText"/>
      </w:pPr>
      <w:r>
        <w:t xml:space="preserve">Q3 Units Sold</w:t>
      </w:r>
    </w:p>
    <w:p>
      <w:pPr>
        <w:pStyle w:val="BodyText"/>
      </w:pPr>
      <w:r>
        <w:t xml:space="preserve">Revenue (USD)</w:t>
      </w:r>
    </w:p>
    <w:p>
      <w:pPr>
        <w:pStyle w:val="BodyText"/>
      </w:pPr>
      <w:r>
        <w:t xml:space="preserve">% Growth vs Q2</w:t>
      </w:r>
    </w:p>
    <w:p>
      <w:pPr>
        <w:pStyle w:val="BodyText"/>
      </w:pPr>
      <w:r>
        <w:t xml:space="preserve">% Market Share (Baghdad)</w:t>
      </w:r>
    </w:p>
    <w:p>
      <w:pPr>
        <w:pStyle w:val="BodyText"/>
      </w:pPr>
      <w:r>
        <w:t xml:space="preserve">Orthopedic Rehabilitation</w:t>
      </w:r>
    </w:p>
    <w:p>
      <w:pPr>
        <w:pStyle w:val="BodyText"/>
      </w:pPr>
      <w:r>
        <w:t xml:space="preserve">1,240</w:t>
      </w:r>
    </w:p>
    <w:p>
      <w:pPr>
        <w:pStyle w:val="BodyText"/>
      </w:pPr>
      <w:r>
        <w:t xml:space="preserve">$89,280</w:t>
      </w:r>
    </w:p>
    <w:p>
      <w:pPr>
        <w:pStyle w:val="BodyText"/>
      </w:pPr>
      <w:r>
        <w:t xml:space="preserve">29%</w:t>
      </w:r>
    </w:p>
    <w:p>
      <w:pPr>
        <w:pStyle w:val="BodyText"/>
      </w:pPr>
      <w:r>
        <w:t xml:space="preserve">34.7%</w:t>
      </w:r>
    </w:p>
    <w:p>
      <w:pPr>
        <w:pStyle w:val="BodyText"/>
      </w:pPr>
      <w:r>
        <w:t xml:space="preserve">Neurological Therapy</w:t>
      </w:r>
    </w:p>
    <w:p>
      <w:pPr>
        <w:pStyle w:val="BodyText"/>
      </w:pPr>
      <w:r>
        <w:t xml:space="preserve">815</w:t>
      </w:r>
    </w:p>
    <w:p>
      <w:pPr>
        <w:pStyle w:val="BodyText"/>
      </w:pPr>
      <w:r>
        <w:rPr>
          <w:bCs/>
          <w:b/>
        </w:rPr>
        <w:t xml:space="preserve">$59,040</w:t>
      </w:r>
    </w:p>
    <w:p>
      <w:pPr>
        <w:pStyle w:val="BodyText"/>
      </w:pPr>
      <w:r>
        <w:t xml:space="preserve">41%</w:t>
      </w:r>
    </w:p>
    <w:p>
      <w:pPr>
        <w:pStyle w:val="BodyText"/>
      </w:pPr>
      <w:r>
        <w:t xml:space="preserve">28.9%</w:t>
      </w:r>
    </w:p>
    <w:p>
      <w:pPr>
        <w:pStyle w:val="BodyText"/>
      </w:pPr>
      <w:r>
        <w:t xml:space="preserve">Sports Injury Management</w:t>
      </w:r>
    </w:p>
    <w:p>
      <w:pPr>
        <w:pStyle w:val="BodyText"/>
      </w:pPr>
      <w:r>
        <w:t xml:space="preserve">532</w:t>
      </w:r>
    </w:p>
    <w:p>
      <w:pPr>
        <w:pStyle w:val="BodyText"/>
      </w:pPr>
      <w:r>
        <w:rPr>
          <w:bCs/>
          <w:b/>
        </w:rPr>
        <w:t xml:space="preserve">$38,140</w:t>
      </w:r>
    </w:p>
    <w:p>
      <w:pPr>
        <w:pStyle w:val="BodyText"/>
      </w:pPr>
      <w:r>
        <w:t xml:space="preserve">17%</w:t>
      </w:r>
    </w:p>
    <w:p>
      <w:pPr>
        <w:pStyle w:val="BodyText"/>
      </w:pPr>
      <w:r>
        <w:t xml:space="preserve">15.8%</w:t>
      </w:r>
    </w:p>
    <w:p>
      <w:pPr>
        <w:pStyle w:val="BodyText"/>
      </w:pPr>
      <w:r>
        <w:rPr>
          <w:bCs/>
          <w:b/>
        </w:rPr>
        <w:t xml:space="preserve">Total</w:t>
      </w:r>
    </w:p>
    <w:p>
      <w:pPr>
        <w:pStyle w:val="BodyText"/>
      </w:pPr>
      <w:r>
        <w:rPr>
          <w:bCs/>
          <w:b/>
        </w:rPr>
        <w:t xml:space="preserve">2,587</w:t>
      </w:r>
    </w:p>
    <w:p>
      <w:pPr>
        <w:pStyle w:val="BodyText"/>
      </w:pPr>
      <w:r>
        <w:rPr>
          <w:bCs/>
          <w:b/>
        </w:rPr>
        <w:t xml:space="preserve">$186,460</w:t>
      </w:r>
    </w:p>
    <w:p>
      <w:pPr>
        <w:pStyle w:val="BodyText"/>
      </w:pPr>
      <w:r>
        <w:rPr>
          <w:bCs/>
          <w:b/>
        </w:rPr>
        <w:t xml:space="preserve">37%</w:t>
      </w:r>
    </w:p>
    <w:p>
      <w:pPr>
        <w:pStyle w:val="BodyText"/>
      </w:pPr>
      <w:r>
        <w:rPr>
          <w:bCs/>
          <w:b/>
        </w:rPr>
        <w:t xml:space="preserve">25.3%</w:t>
      </w:r>
    </w:p>
    <w:p>
      <w:pPr>
        <w:pStyle w:val="BodyText"/>
      </w:pPr>
      <w:r>
        <w:t xml:space="preserve">The 37% revenue growth in Q3 is directly attributed to our expansion into three new hospital partnerships within Baghdad—Rasheed Teaching Hospital, Al-Kadhimiya General Hospital, and Al-Yarmouk Medical Center. These contracts now account for 62% of our total sales volume. Crucially, we've achieved a 45% patient retention rate through culturally tailored services led by local Iraqi physiotherapist staff who understand community needs. This approach has reduced client acquisition costs by 32% compared to previous market entry strategies.</w:t>
      </w:r>
    </w:p>
    <w:bookmarkEnd w:id="22"/>
    <w:bookmarkStart w:id="23" w:name="operational-challenges-in-iraq-baghdad"/>
    <w:p>
      <w:pPr>
        <w:pStyle w:val="Heading2"/>
      </w:pPr>
      <w:r>
        <w:t xml:space="preserve">Operational Challenges in Iraq Baghdad</w:t>
      </w:r>
    </w:p>
    <w:p>
      <w:pPr>
        <w:pStyle w:val="FirstParagraph"/>
      </w:pPr>
      <w:r>
        <w:t xml:space="preserve">Operating within Baghdad presents unique obstacles that directly impact physiotherapy service delivery. Power outages remain a critical issue, affecting 68% of our clinics monthly and requiring backup generators at all locations—adding $14,000 quarterly to operational costs. Transportation constraints due to traffic congestion and security checkpoints delay appointments by an average of 27 minutes per session, reducing daily patient capacity by 15%.</w:t>
      </w:r>
    </w:p>
    <w:p>
      <w:pPr>
        <w:pStyle w:val="BodyText"/>
      </w:pPr>
      <w:r>
        <w:t xml:space="preserve">More significantly, cultural sensitivities require specialized approaches. Our surveys indicate that 89% of Baghdad patients expect female physiotherapist staff for women's health issues and pediatric care—a factor we've addressed through targeted hiring. We've also integrated religious observances into service scheduling (e.g., avoiding Friday afternoon appointments during prayer times), increasing patient satisfaction scores by 41%.</w:t>
      </w:r>
    </w:p>
    <w:bookmarkEnd w:id="23"/>
    <w:bookmarkStart w:id="24" w:name="growth-strategies-for-iraq-baghdad"/>
    <w:p>
      <w:pPr>
        <w:pStyle w:val="Heading2"/>
      </w:pPr>
      <w:r>
        <w:t xml:space="preserve">Growth Strategies for Iraq Baghdad</w:t>
      </w:r>
    </w:p>
    <w:p>
      <w:pPr>
        <w:pStyle w:val="FirstParagraph"/>
      </w:pPr>
      <w:r>
        <w:t xml:space="preserve">Based on Q3 performance, we propose three strategic initiatives to capitalize on Baghdad's physiotherapy market:</w:t>
      </w:r>
    </w:p>
    <w:p>
      <w:pPr>
        <w:numPr>
          <w:ilvl w:val="0"/>
          <w:numId w:val="1001"/>
        </w:numPr>
        <w:pStyle w:val="Compact"/>
      </w:pPr>
      <w:r>
        <w:rPr>
          <w:bCs/>
          <w:b/>
        </w:rPr>
        <w:t xml:space="preserve">Localized Physiotherapist Training Program</w:t>
      </w:r>
      <w:r>
        <w:t xml:space="preserve">: Partner with Baghdad University's Physical Therapy Department to create a certified training pathway. This addresses the critical shortage of qualified physiotherapist professionals (only 47 accredited practitioners exist across all of Baghdad). Our pilot program will produce 25 new local therapists by Q2 2024, reducing staffing costs by 35% while improving cultural alignment.</w:t>
      </w:r>
    </w:p>
    <w:p>
      <w:pPr>
        <w:numPr>
          <w:ilvl w:val="0"/>
          <w:numId w:val="1001"/>
        </w:numPr>
        <w:pStyle w:val="Compact"/>
      </w:pPr>
      <w:r>
        <w:rPr>
          <w:bCs/>
          <w:b/>
        </w:rPr>
        <w:t xml:space="preserve">Mobile Physiotherapy Units</w:t>
      </w:r>
      <w:r>
        <w:t xml:space="preserve">: Deploy three solar-powered mobile clinics to reach underserved neighborhoods in Sadr City and Rusafa. These units will provide home-based services for elderly patients and those with mobility challenges, targeting a segment currently inaccessible to traditional clinics (estimated 120,000 potential patients).</w:t>
      </w:r>
    </w:p>
    <w:p>
      <w:pPr>
        <w:numPr>
          <w:ilvl w:val="0"/>
          <w:numId w:val="1001"/>
        </w:numPr>
        <w:pStyle w:val="Compact"/>
      </w:pPr>
      <w:r>
        <w:rPr>
          <w:bCs/>
          <w:b/>
        </w:rPr>
        <w:t xml:space="preserve">Insurance Partnership Expansion</w:t>
      </w:r>
      <w:r>
        <w:t xml:space="preserve">: Secure agreements with major Iraqi insurance providers (including Al-Mansour Insurance and Al-Rashid Health) to cover physiotherapy services. Currently only 18% of Baghdad patients have insurance coverage for rehabilitation—our target is 45% by year-end through bundled service packages.</w:t>
      </w:r>
    </w:p>
    <w:bookmarkEnd w:id="24"/>
    <w:bookmarkStart w:id="25" w:name="conclusion-and-future-outlook"/>
    <w:p>
      <w:pPr>
        <w:pStyle w:val="Heading2"/>
      </w:pPr>
      <w:r>
        <w:t xml:space="preserve">Conclusion and Future Outlook</w:t>
      </w:r>
    </w:p>
    <w:p>
      <w:pPr>
        <w:pStyle w:val="FirstParagraph"/>
      </w:pPr>
      <w:r>
        <w:t xml:space="preserve">This Sales Report confirms that Baghdad, Iraq represents one of the most promising markets for physiotherapy services in the Middle East. The convergence of unmet healthcare needs, government investment, and cultural market gaps creates an ideal environment for specialized physiotherapist service providers. Our Q3 performance demonstrates that culturally intelligent operations—not just clinical expertise—drive commercial success in Baghdad.</w:t>
      </w:r>
    </w:p>
    <w:p>
      <w:pPr>
        <w:pStyle w:val="BodyText"/>
      </w:pPr>
      <w:r>
        <w:t xml:space="preserve">Looking ahead, we project 58% revenue growth for 2024 as our mobile clinics launch and insurance partnerships solidify. The strategic focus on developing local physiotherapist talent remains paramount: every new Iraqi-certified professional reduces dependency on expatriate staff by 1.8 hours of training time per therapist annually while enhancing community trust.</w:t>
      </w:r>
    </w:p>
    <w:p>
      <w:pPr>
        <w:pStyle w:val="BodyText"/>
      </w:pPr>
      <w:r>
        <w:t xml:space="preserve">For our Baghdad operations, the data is unequivocal—investing in culturally attuned physiotherapy services is not merely profitable but essential for sustainable impact. As we continue to expand our presence across Iraq Baghdad, we will maintain strict adherence to local customs and healthcare regulations while delivering world-class rehabilitation outcomes. The future of physiotherapy in Baghdad isn't just about treating injuries; it's about building a healthier community—one culturally sensitive session at a time.</w:t>
      </w:r>
    </w:p>
    <w:p>
      <w:pPr>
        <w:pStyle w:val="BodyText"/>
      </w:pPr>
      <w:r>
        <w:t xml:space="preserve">"In the heart of Iraq Baghdad, where resilience meets recovery, our physiotherapist professionals are transforming lives through compassionate care and strategic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Services in Baghdad, Iraq</dc:title>
  <dc:creator/>
  <dc:language>en</dc:language>
  <cp:keywords/>
  <dcterms:created xsi:type="dcterms:W3CDTF">2026-07-23T16:30:35Z</dcterms:created>
  <dcterms:modified xsi:type="dcterms:W3CDTF">2026-07-23T16:30:35Z</dcterms:modified>
</cp:coreProperties>
</file>

<file path=docProps/custom.xml><?xml version="1.0" encoding="utf-8"?>
<Properties xmlns="http://schemas.openxmlformats.org/officeDocument/2006/custom-properties" xmlns:vt="http://schemas.openxmlformats.org/officeDocument/2006/docPropsVTypes"/>
</file>