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Performance</w:t>
      </w:r>
      <w:r>
        <w:t xml:space="preserve"> </w:t>
      </w:r>
      <w:r>
        <w:t xml:space="preserve">Report:</w:t>
      </w:r>
      <w:r>
        <w:t xml:space="preserve"> </w:t>
      </w:r>
      <w:r>
        <w:t xml:space="preserve">Netherlands</w:t>
      </w:r>
      <w:r>
        <w:t xml:space="preserve"> </w:t>
      </w:r>
      <w:r>
        <w:t xml:space="preserve">Amsterdam</w:t>
      </w:r>
      <w:r>
        <w:t xml:space="preserve"> </w:t>
      </w:r>
      <w:r>
        <w:t xml:space="preserve">Market</w:t>
      </w:r>
    </w:p>
    <w:bookmarkStart w:id="26" w:name="X02f5762b401e238b264be1e468cefa0c065c334"/>
    <w:p>
      <w:pPr>
        <w:pStyle w:val="Heading1"/>
      </w:pPr>
      <w:r>
        <w:t xml:space="preserve">Sales Report: Physiotherapy Service Performance in Netherlands Amsterdam (Q3 2024)</w:t>
      </w:r>
    </w:p>
    <w:p>
      <w:pPr>
        <w:pStyle w:val="FirstParagraph"/>
      </w:pPr>
      <w:r>
        <w:rPr>
          <w:bCs/>
          <w:b/>
        </w:rPr>
        <w:t xml:space="preserve">Prepared For:</w:t>
      </w:r>
      <w:r>
        <w:t xml:space="preserve"> </w:t>
      </w:r>
      <w:r>
        <w:t xml:space="preserve">Healthcare Management Board, Netherlands Physiotherapy Association</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p>
    <w:bookmarkStart w:id="20" w:name="executive-summary"/>
    <w:p>
      <w:pPr>
        <w:pStyle w:val="Heading2"/>
      </w:pPr>
      <w:r>
        <w:t xml:space="preserve">Executive Summary</w:t>
      </w:r>
    </w:p>
    <w:p>
      <w:pPr>
        <w:pStyle w:val="FirstParagraph"/>
      </w:pPr>
      <w:r>
        <w:t xml:space="preserve">This Sales Report details the operational and financial performance of physiotherapy services across clinics in Netherlands Amsterdam. Analyzing key metrics including patient acquisition, revenue streams, insurance reimbursements, and market trends, this report confirms a 14.7% year-over-year growth in service utilization within Amsterdam’s healthcare ecosystem. The sustained demand reflects both demographic shifts—Amsterdam’s aging population (18.2% aged 65+) and rising chronic condition rates—and the Dutch government's emphasis on preventative care through</w:t>
      </w:r>
      <w:r>
        <w:t xml:space="preserve"> </w:t>
      </w:r>
      <w:r>
        <w:rPr>
          <w:iCs/>
          <w:i/>
        </w:rPr>
        <w:t xml:space="preserve">zorgverzekering</w:t>
      </w:r>
      <w:r>
        <w:t xml:space="preserve"> </w:t>
      </w:r>
      <w:r>
        <w:t xml:space="preserve">(health insurance) coverage. Crucially, certified Physiotherapists in Amsterdam continue to demonstrate exceptional patient retention (87%) and high reimbursement efficiency from insurers like VGZ, Zilveren Kruis, and Menzis.</w:t>
      </w:r>
    </w:p>
    <w:bookmarkEnd w:id="20"/>
    <w:bookmarkStart w:id="21" w:name="Xb1251ee76d34f6c22fbc6aa16c95d01f15918c9"/>
    <w:p>
      <w:pPr>
        <w:pStyle w:val="Heading2"/>
      </w:pPr>
      <w:r>
        <w:t xml:space="preserve">Market Analysis: Netherlands Amsterdam Context</w:t>
      </w:r>
    </w:p>
    <w:p>
      <w:pPr>
        <w:pStyle w:val="FirstParagraph"/>
      </w:pPr>
      <w:r>
        <w:t xml:space="preserve">Amsterdam’s physiotherapy market operates under strict Dutch healthcare regulations. The 2024 Health Insurance Act mandates coverage for 15 sessions annually for musculoskeletal conditions—a policy directly boosting demand for Physiotherapist services. In the Netherlands Amsterdam region, we observe unique dynamics:</w:t>
      </w:r>
    </w:p>
    <w:p>
      <w:pPr>
        <w:numPr>
          <w:ilvl w:val="0"/>
          <w:numId w:val="1001"/>
        </w:numPr>
        <w:pStyle w:val="Compact"/>
      </w:pPr>
      <w:r>
        <w:rPr>
          <w:bCs/>
          <w:b/>
        </w:rPr>
        <w:t xml:space="preserve">Demographic Pressure:</w:t>
      </w:r>
      <w:r>
        <w:t xml:space="preserve"> </w:t>
      </w:r>
      <w:r>
        <w:t xml:space="preserve">38% of Amsterdam residents over 50 require physiotherapy (vs. 29% national average), driven by urban lifestyle factors and aging infrastructure.</w:t>
      </w:r>
    </w:p>
    <w:p>
      <w:pPr>
        <w:numPr>
          <w:ilvl w:val="0"/>
          <w:numId w:val="1001"/>
        </w:numPr>
        <w:pStyle w:val="Compact"/>
      </w:pPr>
      <w:r>
        <w:rPr>
          <w:bCs/>
          <w:b/>
        </w:rPr>
        <w:t xml:space="preserve">Insurance Landscape:</w:t>
      </w:r>
      <w:r>
        <w:t xml:space="preserve"> </w:t>
      </w:r>
      <w:r>
        <w:t xml:space="preserve">Insurers in Amsterdam prioritize "value-based care," reimbursing clinics based on outcomes (e.g., reduced sick leave). This incentivizes Physiotherapists to focus on evidence-based treatment protocols.</w:t>
      </w:r>
    </w:p>
    <w:p>
      <w:pPr>
        <w:numPr>
          <w:ilvl w:val="0"/>
          <w:numId w:val="1001"/>
        </w:numPr>
        <w:pStyle w:val="Compact"/>
      </w:pPr>
      <w:r>
        <w:rPr>
          <w:bCs/>
          <w:b/>
        </w:rPr>
        <w:t xml:space="preserve">Competition:</w:t>
      </w:r>
      <w:r>
        <w:t xml:space="preserve"> </w:t>
      </w:r>
      <w:r>
        <w:t xml:space="preserve">Amsterdam has 182 licensed physiotherapy practices (up 12% YoY), but niche specialization (e.g., sports rehab, geriatrics) differentiates top performers.</w:t>
      </w:r>
    </w:p>
    <w:bookmarkEnd w:id="21"/>
    <w:bookmarkStart w:id="22" w:name="X44654089455ed5bd308e1cee0a9cea3dae8e219"/>
    <w:p>
      <w:pPr>
        <w:pStyle w:val="Heading2"/>
      </w:pPr>
      <w:r>
        <w:t xml:space="preserve">Performance Metrics: Service Utilization &amp; Revenue</w:t>
      </w:r>
    </w:p>
    <w:p>
      <w:pPr>
        <w:pStyle w:val="FirstParagraph"/>
      </w:pPr>
      <w:r>
        <w:t xml:space="preserve">The following table summarizes key sales indicators for Amsterdam-based Physiotherapy clinics in Q3 2024:</w:t>
      </w:r>
    </w:p>
    <w:p>
      <w:pPr>
        <w:pStyle w:val="BodyText"/>
      </w:pPr>
      <w:r>
        <w:t xml:space="preserve">Key Metric</w:t>
      </w:r>
    </w:p>
    <w:p>
      <w:pPr>
        <w:pStyle w:val="BodyText"/>
      </w:pPr>
      <w:r>
        <w:t xml:space="preserve">Q3 2024 (Amsterdam)</w:t>
      </w:r>
    </w:p>
    <w:p>
      <w:pPr>
        <w:pStyle w:val="BodyText"/>
      </w:pPr>
      <w:r>
        <w:t xml:space="preserve">Q3 2023 (Amsterdam)</w:t>
      </w:r>
    </w:p>
    <w:p>
      <w:pPr>
        <w:pStyle w:val="BodyText"/>
      </w:pPr>
      <w:r>
        <w:t xml:space="preserve">YoY Change</w:t>
      </w:r>
    </w:p>
    <w:p>
      <w:pPr>
        <w:pStyle w:val="BodyText"/>
      </w:pPr>
      <w:r>
        <w:t xml:space="preserve">Patient Visits</w:t>
      </w:r>
    </w:p>
    <w:p>
      <w:pPr>
        <w:pStyle w:val="BodyText"/>
      </w:pPr>
      <w:r>
        <w:t xml:space="preserve">18,750</w:t>
      </w:r>
    </w:p>
    <w:p>
      <w:pPr>
        <w:pStyle w:val="BodyText"/>
      </w:pPr>
      <w:r>
        <w:t xml:space="preserve">16,415</w:t>
      </w:r>
    </w:p>
    <w:p>
      <w:pPr>
        <w:pStyle w:val="BodyText"/>
      </w:pPr>
      <w:r>
        <w:t xml:space="preserve">+14.2%</w:t>
      </w:r>
    </w:p>
    <w:p>
      <w:pPr>
        <w:pStyle w:val="BodyText"/>
      </w:pPr>
      <w:r>
        <w:t xml:space="preserve">Avg. Revenue per Patient (€)</w:t>
      </w:r>
    </w:p>
    <w:p>
      <w:pPr>
        <w:pStyle w:val="BodyText"/>
      </w:pPr>
      <w:r>
        <w:t xml:space="preserve">98.50</w:t>
      </w:r>
    </w:p>
    <w:p>
      <w:pPr>
        <w:pStyle w:val="BodyText"/>
      </w:pPr>
      <w:r>
        <w:t xml:space="preserve">&lt; td&gt;92.30</w:t>
      </w:r>
    </w:p>
    <w:p>
      <w:pPr>
        <w:pStyle w:val="BodyText"/>
      </w:pPr>
      <w:r>
        <w:t xml:space="preserve">&lt;</w:t>
      </w:r>
    </w:p>
    <w:p>
      <w:pPr>
        <w:pStyle w:val="BodyText"/>
      </w:pPr>
      <w:r>
        <w:t xml:space="preserve">+6.7%</w:t>
      </w:r>
    </w:p>
    <w:p>
      <w:pPr>
        <w:pStyle w:val="BodyText"/>
      </w:pPr>
      <w:r>
        <w:t xml:space="preserve">Insurance Reimbursement Rate</w:t>
      </w:r>
    </w:p>
    <w:p>
      <w:pPr>
        <w:pStyle w:val="BodyText"/>
      </w:pPr>
      <w:r>
        <w:t xml:space="preserve">&lt; td&gt;89.1%</w:t>
      </w:r>
    </w:p>
    <w:p>
      <w:pPr>
        <w:pStyle w:val="BodyText"/>
      </w:pPr>
      <w:r>
        <w:t xml:space="preserve">&lt; td&gt;84.7%</w:t>
      </w:r>
    </w:p>
    <w:p>
      <w:pPr>
        <w:pStyle w:val="BodyText"/>
      </w:pPr>
      <w:r>
        <w:t xml:space="preserve">&lt; td&gt;+4.4pp</w:t>
      </w:r>
    </w:p>
    <w:p>
      <w:pPr>
        <w:pStyle w:val="BodyText"/>
      </w:pPr>
      <w:r>
        <w:t xml:space="preserve">New Patient Acquisition Rate</w:t>
      </w:r>
    </w:p>
    <w:p>
      <w:pPr>
        <w:pStyle w:val="BodyText"/>
      </w:pPr>
      <w:r>
        <w:t xml:space="preserve">&lt; td&gt;235/week (Avg.)</w:t>
      </w:r>
    </w:p>
    <w:p>
      <w:pPr>
        <w:pStyle w:val="BodyText"/>
      </w:pPr>
      <w:r>
        <w:t xml:space="preserve">&lt; td&gt;201/week (Avg.)</w:t>
      </w:r>
    </w:p>
    <w:p>
      <w:pPr>
        <w:pStyle w:val="BodyText"/>
      </w:pPr>
      <w:r>
        <w:t xml:space="preserve">&lt; td&gt;+16.9%</w:t>
      </w:r>
    </w:p>
    <w:p>
      <w:pPr>
        <w:pStyle w:val="BodyText"/>
      </w:pPr>
      <w:r>
        <w:t xml:space="preserve">Patient Retention Rate (3+ Visits)</w:t>
      </w:r>
    </w:p>
    <w:p>
      <w:pPr>
        <w:pStyle w:val="BodyText"/>
      </w:pPr>
      <w:r>
        <w:t xml:space="preserve">&lt; td&gt;87.4%</w:t>
      </w:r>
    </w:p>
    <w:p>
      <w:pPr>
        <w:pStyle w:val="BodyText"/>
      </w:pPr>
      <w:r>
        <w:t xml:space="preserve">&lt; td&gt;83.2%</w:t>
      </w:r>
    </w:p>
    <w:p>
      <w:pPr>
        <w:pStyle w:val="BodyText"/>
      </w:pPr>
      <w:r>
        <w:t xml:space="preserve">&lt; td&gt;+4.2pp</w:t>
      </w:r>
    </w:p>
    <w:p>
      <w:pPr>
        <w:pStyle w:val="BodyText"/>
      </w:pPr>
      <w:r>
        <w:t xml:space="preserve">Notably, clinics in Amsterdam’s central districts (Zuid, Centrum) achieved the highest reimbursement rates due to streamlined digital claims processing via</w:t>
      </w:r>
      <w:r>
        <w:t xml:space="preserve"> </w:t>
      </w:r>
      <w:r>
        <w:rPr>
          <w:iCs/>
          <w:i/>
        </w:rPr>
        <w:t xml:space="preserve">zorgdelen</w:t>
      </w:r>
      <w:r>
        <w:t xml:space="preserve"> </w:t>
      </w:r>
      <w:r>
        <w:t xml:space="preserve">portals. Physiotherapists leveraging integrated telehealth for follow-ups saw a 32% increase in repeat bookings—critical in a market where patient convenience is paramount.</w:t>
      </w:r>
    </w:p>
    <w:bookmarkEnd w:id="22"/>
    <w:bookmarkStart w:id="23" w:name="key-challenges-opportunities"/>
    <w:p>
      <w:pPr>
        <w:pStyle w:val="Heading2"/>
      </w:pPr>
      <w:r>
        <w:t xml:space="preserve">Key Challenges &amp; Opportunities</w:t>
      </w:r>
    </w:p>
    <w:p>
      <w:pPr>
        <w:pStyle w:val="FirstParagraph"/>
      </w:pPr>
      <w:r>
        <w:t xml:space="preserve">Despite growth, Amsterdam-specific challenges persist:</w:t>
      </w:r>
    </w:p>
    <w:p>
      <w:pPr>
        <w:numPr>
          <w:ilvl w:val="0"/>
          <w:numId w:val="1002"/>
        </w:numPr>
        <w:pStyle w:val="Compact"/>
      </w:pPr>
      <w:r>
        <w:rPr>
          <w:bCs/>
          <w:b/>
        </w:rPr>
        <w:t xml:space="preserve">Labor Shortages:</w:t>
      </w:r>
      <w:r>
        <w:t xml:space="preserve"> </w:t>
      </w:r>
      <w:r>
        <w:t xml:space="preserve">Amsterdam faces a 17% deficit in certified Physiotherapists (vs. national 9%), straining clinic capacity. This impacts sales volume as waitlists average 21 days.</w:t>
      </w:r>
    </w:p>
    <w:p>
      <w:pPr>
        <w:numPr>
          <w:ilvl w:val="0"/>
          <w:numId w:val="1002"/>
        </w:numPr>
        <w:pStyle w:val="Compact"/>
      </w:pPr>
      <w:r>
        <w:rPr>
          <w:bCs/>
          <w:b/>
        </w:rPr>
        <w:t xml:space="preserve">Insurance Complexity:</w:t>
      </w:r>
      <w:r>
        <w:t xml:space="preserve"> </w:t>
      </w:r>
      <w:r>
        <w:t xml:space="preserve">New insurer policies (e.g., Zilveren Kruis’s "Outcome-Based Reimbursement" framework) require Physiotherapists to document progress in real-time—adding administrative burden.</w:t>
      </w:r>
    </w:p>
    <w:p>
      <w:pPr>
        <w:numPr>
          <w:ilvl w:val="0"/>
          <w:numId w:val="1002"/>
        </w:numPr>
        <w:pStyle w:val="Compact"/>
      </w:pPr>
      <w:r>
        <w:rPr>
          <w:bCs/>
          <w:b/>
        </w:rPr>
        <w:t xml:space="preserve">Urban Competition:</w:t>
      </w:r>
      <w:r>
        <w:t xml:space="preserve"> </w:t>
      </w:r>
      <w:r>
        <w:t xml:space="preserve">High clinic density in Amsterdam necessitates specialization. Generalist practices underperform by 22% versus clinics focusing on orthopedics or neurology.</w:t>
      </w:r>
    </w:p>
    <w:p>
      <w:pPr>
        <w:pStyle w:val="FirstParagraph"/>
      </w:pPr>
      <w:r>
        <w:t xml:space="preserve">Opportunities for growth are significant:</w:t>
      </w:r>
    </w:p>
    <w:p>
      <w:pPr>
        <w:numPr>
          <w:ilvl w:val="0"/>
          <w:numId w:val="1003"/>
        </w:numPr>
        <w:pStyle w:val="Compact"/>
      </w:pPr>
      <w:r>
        <w:rPr>
          <w:bCs/>
          <w:b/>
        </w:rPr>
        <w:t xml:space="preserve">Sick Leave Partnerships:</w:t>
      </w:r>
      <w:r>
        <w:t xml:space="preserve"> </w:t>
      </w:r>
      <w:r>
        <w:t xml:space="preserve">Collaborating with Amsterdam employers (e.g., Ahold Delhaize, Heineken) to offer workplace physiotherapy reduces absenteeism—directly boosting clinic sales.</w:t>
      </w:r>
    </w:p>
    <w:p>
      <w:pPr>
        <w:numPr>
          <w:ilvl w:val="0"/>
          <w:numId w:val="1003"/>
        </w:numPr>
        <w:pStyle w:val="Compact"/>
      </w:pPr>
      <w:r>
        <w:rPr>
          <w:bCs/>
          <w:b/>
        </w:rPr>
        <w:t xml:space="preserve">Digital Integration:</w:t>
      </w:r>
      <w:r>
        <w:t xml:space="preserve"> </w:t>
      </w:r>
      <w:r>
        <w:t xml:space="preserve">Clinics using platforms like "ZorgConnect" for automated insurance claims saw 19% faster revenue cycles.</w:t>
      </w:r>
    </w:p>
    <w:p>
      <w:pPr>
        <w:numPr>
          <w:ilvl w:val="0"/>
          <w:numId w:val="1003"/>
        </w:numPr>
        <w:pStyle w:val="Compact"/>
      </w:pPr>
      <w:r>
        <w:rPr>
          <w:bCs/>
          <w:b/>
        </w:rPr>
        <w:t xml:space="preserve">Preventative Programs:</w:t>
      </w:r>
      <w:r>
        <w:t xml:space="preserve"> </w:t>
      </w:r>
      <w:r>
        <w:t xml:space="preserve">Municipal initiatives (e.g., Amsterdam Healthy City Project) fund physiotherapy for at-risk seniors, creating stable referral streams.</w:t>
      </w:r>
    </w:p>
    <w:bookmarkEnd w:id="23"/>
    <w:bookmarkStart w:id="24" w:name="strategic-recommendations"/>
    <w:p>
      <w:pPr>
        <w:pStyle w:val="Heading2"/>
      </w:pPr>
      <w:r>
        <w:t xml:space="preserve">Strategic Recommendations</w:t>
      </w:r>
    </w:p>
    <w:p>
      <w:pPr>
        <w:pStyle w:val="FirstParagraph"/>
      </w:pPr>
      <w:r>
        <w:t xml:space="preserve">To capitalize on Netherlands Amsterdam’s market potential, we recommend:</w:t>
      </w:r>
    </w:p>
    <w:p>
      <w:pPr>
        <w:numPr>
          <w:ilvl w:val="0"/>
          <w:numId w:val="1004"/>
        </w:numPr>
        <w:pStyle w:val="Compact"/>
      </w:pPr>
      <w:r>
        <w:rPr>
          <w:bCs/>
          <w:b/>
        </w:rPr>
        <w:t xml:space="preserve">Specialize by Demographic:</w:t>
      </w:r>
      <w:r>
        <w:t xml:space="preserve"> </w:t>
      </w:r>
      <w:r>
        <w:t xml:space="preserve">Target Amsterdam’s aging population with "Silver Physio" packages (e.g., fall prevention, arthritis management), increasing revenue per patient by 28%.</w:t>
      </w:r>
    </w:p>
    <w:p>
      <w:pPr>
        <w:numPr>
          <w:ilvl w:val="0"/>
          <w:numId w:val="1004"/>
        </w:numPr>
        <w:pStyle w:val="Compact"/>
      </w:pPr>
      <w:r>
        <w:rPr>
          <w:bCs/>
          <w:b/>
        </w:rPr>
        <w:t xml:space="preserve">Invest in Tech Compliance:</w:t>
      </w:r>
      <w:r>
        <w:t xml:space="preserve"> </w:t>
      </w:r>
      <w:r>
        <w:t xml:space="preserve">Adopt AI-driven documentation tools to streamline insurer reporting, reducing admin time by 35% and accelerating sales cycles.</w:t>
      </w:r>
    </w:p>
    <w:p>
      <w:pPr>
        <w:numPr>
          <w:ilvl w:val="0"/>
          <w:numId w:val="1004"/>
        </w:numPr>
        <w:pStyle w:val="Compact"/>
      </w:pPr>
      <w:r>
        <w:rPr>
          <w:bCs/>
          <w:b/>
        </w:rPr>
        <w:t xml:space="preserve">Forge Municipal Partnerships:</w:t>
      </w:r>
      <w:r>
        <w:t xml:space="preserve"> </w:t>
      </w:r>
      <w:r>
        <w:t xml:space="preserve">Bid for city-funded contracts (e.g., "Amsterdam Mobility Program") to secure long-term client acquisition at scale.</w:t>
      </w:r>
    </w:p>
    <w:p>
      <w:pPr>
        <w:numPr>
          <w:ilvl w:val="0"/>
          <w:numId w:val="1004"/>
        </w:numPr>
        <w:pStyle w:val="Compact"/>
      </w:pPr>
      <w:r>
        <w:rPr>
          <w:bCs/>
          <w:b/>
        </w:rPr>
        <w:t xml:space="preserve">Expand Telehealth Services:</w:t>
      </w:r>
      <w:r>
        <w:t xml:space="preserve"> </w:t>
      </w:r>
      <w:r>
        <w:t xml:space="preserve">Offer hybrid appointments (in-clinic + virtual) to capture patients who value Amsterdam’s fast-paced urban lifestyle—projected 40% demand growth by 2025.</w:t>
      </w:r>
    </w:p>
    <w:bookmarkEnd w:id="24"/>
    <w:bookmarkStart w:id="25" w:name="X93610064b22e6a55a9d62ae838c8f824c294b69"/>
    <w:p>
      <w:pPr>
        <w:pStyle w:val="Heading2"/>
      </w:pPr>
      <w:r>
        <w:t xml:space="preserve">Conclusion: The Physiotherapist as a Growth Driver</w:t>
      </w:r>
    </w:p>
    <w:p>
      <w:pPr>
        <w:pStyle w:val="FirstParagraph"/>
      </w:pPr>
      <w:r>
        <w:t xml:space="preserve">This Sales Report confirms that Physiotherapists are not just healthcare providers but pivotal revenue generators in the Netherlands Amsterdam ecosystem. With rising insurance coverage, demographic pressures, and municipal investment, the sector is poised for sustained growth. Clinics prioritizing specialization, digital integration, and community partnerships will outperform competitors—leveraging their position as essential health advocates within Amsterdam’s dynamic urban landscape.</w:t>
      </w:r>
    </w:p>
    <w:p>
      <w:pPr>
        <w:pStyle w:val="BodyText"/>
      </w:pPr>
      <w:r>
        <w:t xml:space="preserve">For 2025 planning in Netherlands Amsterdam: Focus on building "outcome-focused" Physiotherapy practices where service excellence directly translates to higher sales volume, faster reimbursement, and deeper community integration. The data is clear—proactive clinics will capture market share as Amsterdam’s healthcare needs evolve.</w:t>
      </w:r>
    </w:p>
    <w:p>
      <w:pPr>
        <w:pStyle w:val="BodyText"/>
      </w:pPr>
      <w:r>
        <w:rPr>
          <w:bCs/>
          <w:b/>
        </w:rPr>
        <w:t xml:space="preserve">Report Authored By:</w:t>
      </w:r>
      <w:r>
        <w:t xml:space="preserve"> </w:t>
      </w:r>
      <w:r>
        <w:t xml:space="preserve">Netherlands Healthcare Analytics Division</w:t>
      </w:r>
      <w:r>
        <w:br/>
      </w:r>
      <w:r>
        <w:rPr>
          <w:bCs/>
          <w:b/>
        </w:rPr>
        <w:t xml:space="preserve">Contact:</w:t>
      </w:r>
      <w:r>
        <w:t xml:space="preserve"> </w:t>
      </w:r>
      <w:r>
        <w:t xml:space="preserve">insights@nlhealthcareanalytics.nl | +31 20 555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Performance Report: Netherlands Amsterdam Market</dc:title>
  <dc:creator/>
  <dc:language>en</dc:language>
  <cp:keywords/>
  <dcterms:created xsi:type="dcterms:W3CDTF">2026-07-23T11:35:12Z</dcterms:created>
  <dcterms:modified xsi:type="dcterms:W3CDTF">2026-07-23T11:35:12Z</dcterms:modified>
</cp:coreProperties>
</file>

<file path=docProps/custom.xml><?xml version="1.0" encoding="utf-8"?>
<Properties xmlns="http://schemas.openxmlformats.org/officeDocument/2006/custom-properties" xmlns:vt="http://schemas.openxmlformats.org/officeDocument/2006/docPropsVTypes"/>
</file>