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Saint</w:t>
      </w:r>
      <w:r>
        <w:t xml:space="preserve"> </w:t>
      </w:r>
      <w:r>
        <w:t xml:space="preserve">Petersburg</w:t>
      </w:r>
      <w:r>
        <w:t xml:space="preserve"> </w:t>
      </w:r>
      <w:r>
        <w:t xml:space="preserve">Market</w:t>
      </w:r>
      <w:r>
        <w:t xml:space="preserve"> </w:t>
      </w:r>
      <w:r>
        <w:t xml:space="preserve">Analysis</w:t>
      </w:r>
    </w:p>
    <w:bookmarkStart w:id="27" w:name="X6ee4795f7b0401e750da4c4f2ee142a732019c6"/>
    <w:p>
      <w:pPr>
        <w:pStyle w:val="Heading1"/>
      </w:pPr>
      <w:r>
        <w:t xml:space="preserve">Sales Report: Physiotherapy Services Performance in Russia Saint Petersburg</w:t>
      </w:r>
    </w:p>
    <w:bookmarkStart w:id="20" w:name="executive-summary"/>
    <w:p>
      <w:pPr>
        <w:pStyle w:val="Heading2"/>
      </w:pPr>
      <w:r>
        <w:t xml:space="preserve">Executive Summary</w:t>
      </w:r>
    </w:p>
    <w:p>
      <w:pPr>
        <w:pStyle w:val="FirstParagraph"/>
      </w:pPr>
      <w:r>
        <w:t xml:space="preserve">This comprehensive Sales Report analyzes the physiotherapy services market within Russia Saint Petersburg, detailing current sales performance, client acquisition metrics, and strategic opportunities. As one of Russia's largest metropolitan centers with a population exceeding 5 million residents, Saint Petersburg represents a critical growth corridor for healthcare services. The report confirms that specialized physiotherapist services have achieved a 18% year-over-year revenue increase in Q1-Q3 2023, driven by rising demand for musculoskeletal rehabilitation and post-injury care. This Sales Report underscores the strategic importance of positioning qualified physiotherapist professionals as central to our expansion in Russia Saint Petersburg.</w:t>
      </w:r>
    </w:p>
    <w:bookmarkEnd w:id="20"/>
    <w:bookmarkStart w:id="21" w:name="X968fb245a73e972bc6ba541be550633859b1c11"/>
    <w:p>
      <w:pPr>
        <w:pStyle w:val="Heading2"/>
      </w:pPr>
      <w:r>
        <w:t xml:space="preserve">Market Analysis: Russia Saint Petersburg Context</w:t>
      </w:r>
    </w:p>
    <w:p>
      <w:pPr>
        <w:pStyle w:val="FirstParagraph"/>
      </w:pPr>
      <w:r>
        <w:t xml:space="preserve">St. Petersburg's healthcare landscape presents unique opportunities for physiotherapy providers. With an aging population (18% over 60 years) and high prevalence of sports injuries among active youth, the demand for specialized physiotherapist services has surged by 23% since 2021. The city's robust private healthcare sector – comprising over 450 clinics – creates fertile ground for premium physiotherapy offerings. Our Sales Report identifies key market differentiators:</w:t>
      </w:r>
    </w:p>
    <w:p>
      <w:pPr>
        <w:numPr>
          <w:ilvl w:val="0"/>
          <w:numId w:val="1001"/>
        </w:numPr>
        <w:pStyle w:val="Compact"/>
      </w:pPr>
      <w:r>
        <w:t xml:space="preserve">87% of clients prioritize certified physiotherapist credentials in service selection</w:t>
      </w:r>
    </w:p>
    <w:p>
      <w:pPr>
        <w:numPr>
          <w:ilvl w:val="0"/>
          <w:numId w:val="1001"/>
        </w:numPr>
        <w:pStyle w:val="Compact"/>
      </w:pPr>
      <w:r>
        <w:t xml:space="preserve">Post-COVID rehabilitation demand has increased by 32% in the Saint Petersburg region</w:t>
      </w:r>
    </w:p>
    <w:p>
      <w:pPr>
        <w:numPr>
          <w:ilvl w:val="0"/>
          <w:numId w:val="1001"/>
        </w:numPr>
        <w:pStyle w:val="Compact"/>
      </w:pPr>
      <w:r>
        <w:t xml:space="preserve">Premium services (e.g., sports physiotherapy, neurorehabilitation) command 40% higher margins</w:t>
      </w:r>
    </w:p>
    <w:p>
      <w:pPr>
        <w:pStyle w:val="FirstParagraph"/>
      </w:pPr>
      <w:r>
        <w:t xml:space="preserve">This data validates our strategic focus on recruiting and retaining top-tier physiotherapist professionals for the Russia Saint Petersburg market.</w:t>
      </w:r>
    </w:p>
    <w:bookmarkEnd w:id="21"/>
    <w:bookmarkStart w:id="22" w:name="Xce98e6ce4b4fec6c9ac43bfca4d4178cd13ef8b"/>
    <w:p>
      <w:pPr>
        <w:pStyle w:val="Heading2"/>
      </w:pPr>
      <w:r>
        <w:t xml:space="preserve">Sales Performance Breakdown: Key Metrics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(RUB)</w:t>
            </w:r>
          </w:p>
        </w:tc>
        <w:tc>
          <w:tcPr/>
          <w:p>
            <w:pPr>
              <w:pStyle w:val="Compact"/>
              <w:jc w:val="left"/>
            </w:pPr>
            <w:r>
              <w:t xml:space="preserve">% Growth YoY</w:t>
            </w:r>
          </w:p>
        </w:tc>
        <w:tc>
          <w:tcPr/>
          <w:p>
            <w:pPr>
              <w:pStyle w:val="Compact"/>
              <w:jc w:val="left"/>
            </w:pPr>
            <w:r>
              <w:t xml:space="preserve">Key Client Segment</w:t>
            </w:r>
          </w:p>
        </w:tc>
      </w:tr>
      <w:tr>
        <w:tc>
          <w:tcPr/>
          <w:p>
            <w:pPr>
              <w:pStyle w:val="Compact"/>
              <w:jc w:val="left"/>
            </w:pPr>
            <w:r>
              <w:t xml:space="preserve">General Musculoskeletal Rehabilitation</w:t>
            </w:r>
          </w:p>
        </w:tc>
        <w:tc>
          <w:tcPr/>
          <w:p>
            <w:pPr>
              <w:pStyle w:val="Compact"/>
              <w:jc w:val="left"/>
            </w:pPr>
            <w:r>
              <w:t xml:space="preserve">4,250,000</w:t>
            </w:r>
          </w:p>
        </w:tc>
        <w:tc>
          <w:tcPr/>
          <w:p>
            <w:pPr>
              <w:pStyle w:val="Compact"/>
              <w:jc w:val="left"/>
            </w:pPr>
            <w:r>
              <w:t xml:space="preserve">+14%</w:t>
            </w:r>
          </w:p>
        </w:tc>
        <w:tc>
          <w:tcPr/>
          <w:p>
            <w:pPr>
              <w:pStyle w:val="Compact"/>
              <w:jc w:val="left"/>
            </w:pPr>
            <w:r>
              <w:t xml:space="preserve">Seniors (65+)</w:t>
            </w:r>
          </w:p>
        </w:tc>
      </w:tr>
      <w:tr>
        <w:tc>
          <w:tcPr/>
          <w:p>
            <w:pPr>
              <w:pStyle w:val="Compact"/>
              <w:jc w:val="left"/>
            </w:pPr>
            <w:r>
              <w:t xml:space="preserve">Sports Injury Management</w:t>
            </w:r>
          </w:p>
        </w:tc>
        <w:tc>
          <w:tcPr/>
          <w:p>
            <w:pPr>
              <w:pStyle w:val="Compact"/>
              <w:jc w:val="left"/>
            </w:pPr>
            <w:r>
              <w:t xml:space="preserve">3,825,000</w:t>
            </w:r>
          </w:p>
        </w:tc>
        <w:tc>
          <w:tcPr/>
          <w:p>
            <w:pPr>
              <w:pStyle w:val="Compact"/>
              <w:jc w:val="left"/>
            </w:pPr>
            <w:r>
              <w:t xml:space="preserve">+29%</w:t>
            </w:r>
          </w:p>
        </w:tc>
        <w:tc>
          <w:tcPr/>
          <w:p>
            <w:pPr>
              <w:pStyle w:val="Compact"/>
              <w:jc w:val="left"/>
            </w:pPr>
            <w:r>
              <w:t xml:space="preserve">Professional Athletes &amp; Gym Memberships</w:t>
            </w:r>
          </w:p>
        </w:tc>
      </w:tr>
      <w:tr>
        <w:tc>
          <w:tcPr/>
          <w:p>
            <w:pPr>
              <w:pStyle w:val="Compact"/>
              <w:jc w:val="left"/>
            </w:pPr>
            <w:r>
              <w:t xml:space="preserve">Post-Surgical Recovery (Orthopedic)</w:t>
            </w:r>
          </w:p>
        </w:tc>
        <w:tc>
          <w:tcPr/>
          <w:p>
            <w:pPr>
              <w:pStyle w:val="Compact"/>
              <w:jc w:val="left"/>
            </w:pPr>
            <w:r>
              <w:t xml:space="preserve">2,760,000</w:t>
            </w:r>
          </w:p>
        </w:tc>
        <w:tc>
          <w:tcPr/>
          <w:p>
            <w:pPr>
              <w:pStyle w:val="Compact"/>
              <w:jc w:val="left"/>
            </w:pPr>
            <w:r>
              <w:t xml:space="preserve">+35%</w:t>
            </w:r>
          </w:p>
        </w:tc>
        <w:tc>
          <w:tcPr/>
          <w:p>
            <w:pPr>
              <w:pStyle w:val="Compact"/>
              <w:jc w:val="left"/>
            </w:pPr>
            <w:r>
              <w:t xml:space="preserve">Hospital Partnerships (e.g., City Hospital #1)</w:t>
            </w:r>
          </w:p>
        </w:tc>
      </w:tr>
      <w:tr>
        <w:tc>
          <w:tcPr/>
          <w:p>
            <w:pPr>
              <w:pStyle w:val="Compact"/>
              <w:jc w:val="left"/>
            </w:pPr>
            <w:r>
              <w:t xml:space="preserve">Chronic Pain Management</w:t>
            </w:r>
          </w:p>
        </w:tc>
        <w:tc>
          <w:tcPr/>
          <w:p>
            <w:pPr>
              <w:pStyle w:val="Compact"/>
              <w:jc w:val="left"/>
            </w:pPr>
            <w:r>
              <w:t xml:space="preserve">1,985,000</w:t>
            </w:r>
          </w:p>
        </w:tc>
        <w:tc>
          <w:tcPr/>
          <w:p>
            <w:pPr>
              <w:pStyle w:val="Compact"/>
              <w:jc w:val="left"/>
            </w:pPr>
            <w:r>
              <w:t xml:space="preserve">+22%</w:t>
            </w:r>
          </w:p>
        </w:tc>
        <w:tc>
          <w:tcPr/>
          <w:p>
            <w:pPr>
              <w:pStyle w:val="Compact"/>
              <w:jc w:val="left"/>
            </w:pPr>
            <w:r>
              <w:t xml:space="preserve">Corporate Wellness Programs</w:t>
            </w:r>
          </w:p>
        </w:tc>
      </w:tr>
    </w:tbl>
    <w:p>
      <w:pPr>
        <w:pStyle w:val="BodyText"/>
      </w:pPr>
      <w:r>
        <w:t xml:space="preserve">The data confirms that physiotherapist-led services consistently outperform departmental averages by 17-38%. Notably, clinics with certified physiotherapist teams (holding Russian Federal Health Ministry accreditation) achieved 52% higher client retention rates. This Sales Report demonstrates that investing in qualified physiotherapist personnel directly correlates with commercial success in Russia Saint Petersburg.</w:t>
      </w:r>
    </w:p>
    <w:bookmarkEnd w:id="22"/>
    <w:bookmarkStart w:id="23" w:name="Xa0d5ac6a7eece2c8f9f72cb2529bdcc23f4d709"/>
    <w:p>
      <w:pPr>
        <w:pStyle w:val="Heading2"/>
      </w:pPr>
      <w:r>
        <w:t xml:space="preserve">Client Acquisition Strategies &amp; Physiotherapist Impact</w:t>
      </w:r>
    </w:p>
    <w:p>
      <w:pPr>
        <w:pStyle w:val="FirstParagraph"/>
      </w:pPr>
      <w:r>
        <w:t xml:space="preserve">Our most successful sales channels for physiotherapy services in Saint Petersburg include:</w:t>
      </w:r>
    </w:p>
    <w:p>
      <w:pPr>
        <w:numPr>
          <w:ilvl w:val="0"/>
          <w:numId w:val="1002"/>
        </w:numPr>
        <w:pStyle w:val="Compact"/>
      </w:pPr>
      <w:r>
        <w:rPr>
          <w:bCs/>
          <w:b/>
        </w:rPr>
        <w:t xml:space="preserve">Hospital Referral Networks:</w:t>
      </w:r>
      <w:r>
        <w:t xml:space="preserve"> </w:t>
      </w:r>
      <w:r>
        <w:t xml:space="preserve">41% of new clients originate from partnerships with major hospitals (e.g., S. P. Botkin Hospital). Physiotherapist-led demonstration sessions at these institutions increased referral volumes by 63%.</w:t>
      </w:r>
    </w:p>
    <w:p>
      <w:pPr>
        <w:numPr>
          <w:ilvl w:val="0"/>
          <w:numId w:val="1002"/>
        </w:numPr>
        <w:pStyle w:val="Compact"/>
      </w:pPr>
      <w:r>
        <w:rPr>
          <w:bCs/>
          <w:b/>
        </w:rPr>
        <w:t xml:space="preserve">Corporate Wellness Contracts:</w:t>
      </w:r>
      <w:r>
        <w:t xml:space="preserve"> </w:t>
      </w:r>
      <w:r>
        <w:t xml:space="preserve">Securing contracts with St. Petersburg-based tech firms (Yandex, VK) generated 28% of new revenue through customized physiotherapy programs for employees.</w:t>
      </w:r>
    </w:p>
    <w:p>
      <w:pPr>
        <w:numPr>
          <w:ilvl w:val="0"/>
          <w:numId w:val="1002"/>
        </w:numPr>
        <w:pStyle w:val="Compact"/>
      </w:pPr>
      <w:r>
        <w:rPr>
          <w:bCs/>
          <w:b/>
        </w:rPr>
        <w:t xml:space="preserve">Social Media Engagement:</w:t>
      </w:r>
      <w:r>
        <w:t xml:space="preserve"> </w:t>
      </w:r>
      <w:r>
        <w:t xml:space="preserve">Targeted Instagram campaigns featuring certified physiotherapist success stories achieved 290% higher conversion rates than standard advertising.</w:t>
      </w:r>
    </w:p>
    <w:p>
      <w:pPr>
        <w:pStyle w:val="FirstParagraph"/>
      </w:pPr>
      <w:r>
        <w:t xml:space="preserve">Critical to these strategies is the role of the physiotherapist as a clinical sales ambassador. Our Sales Report documents that when physiotherapists personally conduct initial consultations, client satisfaction scores increase by 47%, directly boosting referral potential within Russia Saint Petersburg's tight-knit healthcare community.</w:t>
      </w:r>
    </w:p>
    <w:bookmarkEnd w:id="23"/>
    <w:bookmarkStart w:id="24" w:name="Xd1f5a6ca82f58d6926c9ba6f09f993066280026"/>
    <w:p>
      <w:pPr>
        <w:pStyle w:val="Heading2"/>
      </w:pPr>
      <w:r>
        <w:t xml:space="preserve">Challenges in Russia Saint Petersburg Market</w:t>
      </w:r>
    </w:p>
    <w:p>
      <w:pPr>
        <w:pStyle w:val="FirstParagraph"/>
      </w:pPr>
      <w:r>
        <w:t xml:space="preserve">Despite strong growth, several challenges impact physiotherapy sales performance:</w:t>
      </w:r>
    </w:p>
    <w:p>
      <w:pPr>
        <w:numPr>
          <w:ilvl w:val="0"/>
          <w:numId w:val="1003"/>
        </w:numPr>
        <w:pStyle w:val="Compact"/>
      </w:pPr>
      <w:r>
        <w:rPr>
          <w:bCs/>
          <w:b/>
        </w:rPr>
        <w:t xml:space="preserve">Labor Shortages:</w:t>
      </w:r>
      <w:r>
        <w:t xml:space="preserve"> </w:t>
      </w:r>
      <w:r>
        <w:t xml:space="preserve">Only 31% of clinics in Saint Petersburg maintain adequate physiotherapist staffing levels (vs. 58% national average), creating service capacity constraints.</w:t>
      </w:r>
    </w:p>
    <w:p>
      <w:pPr>
        <w:numPr>
          <w:ilvl w:val="0"/>
          <w:numId w:val="1003"/>
        </w:numPr>
        <w:pStyle w:val="Compact"/>
      </w:pPr>
      <w:r>
        <w:rPr>
          <w:bCs/>
          <w:b/>
        </w:rPr>
        <w:t xml:space="preserve">Payment Reimbursement Complexities:</w:t>
      </w:r>
      <w:r>
        <w:t xml:space="preserve"> </w:t>
      </w:r>
      <w:r>
        <w:t xml:space="preserve">Navigating Russia's dual public-private insurance system adds administrative burden, reducing effective sales conversion time by 19 hours/week per clinic.</w:t>
      </w:r>
    </w:p>
    <w:p>
      <w:pPr>
        <w:numPr>
          <w:ilvl w:val="0"/>
          <w:numId w:val="1003"/>
        </w:numPr>
        <w:pStyle w:val="Compact"/>
      </w:pPr>
      <w:r>
        <w:rPr>
          <w:bCs/>
          <w:b/>
        </w:rPr>
        <w:t xml:space="preserve">Competitive Pricing Pressure:</w:t>
      </w:r>
      <w:r>
        <w:t xml:space="preserve"> </w:t>
      </w:r>
      <w:r>
        <w:t xml:space="preserve">Budget clinics offering unlicensed "massage therapy" at 35% lower rates are eroding premium market share for certified physiotherapist services.</w:t>
      </w:r>
    </w:p>
    <w:bookmarkEnd w:id="24"/>
    <w:bookmarkStart w:id="25" w:name="X3b83549f27a4831a6a47b22da7796816befe257"/>
    <w:p>
      <w:pPr>
        <w:pStyle w:val="Heading2"/>
      </w:pPr>
      <w:r>
        <w:t xml:space="preserve">Strategic Recommendations for Sales Growth</w:t>
      </w:r>
    </w:p>
    <w:p>
      <w:pPr>
        <w:pStyle w:val="FirstParagraph"/>
      </w:pPr>
      <w:r>
        <w:t xml:space="preserve">This Sales Report recommends three priority actions to strengthen our position as leading physiotherapy providers in Russia Saint Petersburg:</w:t>
      </w:r>
    </w:p>
    <w:p>
      <w:pPr>
        <w:numPr>
          <w:ilvl w:val="0"/>
          <w:numId w:val="1004"/>
        </w:numPr>
        <w:pStyle w:val="Compact"/>
      </w:pPr>
      <w:r>
        <w:rPr>
          <w:bCs/>
          <w:b/>
        </w:rPr>
        <w:t xml:space="preserve">Expand Certified Physiotherapist Recruitment:</w:t>
      </w:r>
      <w:r>
        <w:t xml:space="preserve"> </w:t>
      </w:r>
      <w:r>
        <w:t xml:space="preserve">Target 15 new hires by Q4 2023 with specialized training in Russian healthcare compliance. We project this will increase service capacity by 37% and capture an additional 8.5% market share in Saint Petersburg.</w:t>
      </w:r>
    </w:p>
    <w:p>
      <w:pPr>
        <w:numPr>
          <w:ilvl w:val="0"/>
          <w:numId w:val="1004"/>
        </w:numPr>
        <w:pStyle w:val="Compact"/>
      </w:pPr>
      <w:r>
        <w:rPr>
          <w:bCs/>
          <w:b/>
        </w:rPr>
        <w:t xml:space="preserve">Develop Hospital Partnership Frameworks:</w:t>
      </w:r>
      <w:r>
        <w:t xml:space="preserve"> </w:t>
      </w:r>
      <w:r>
        <w:t xml:space="preserve">Formalize agreements with all major St. Petersburg hospitals to establish physiotherapist co-location services, projected to generate 220+ new clients monthly through direct referrals.</w:t>
      </w:r>
    </w:p>
    <w:p>
      <w:pPr>
        <w:numPr>
          <w:ilvl w:val="0"/>
          <w:numId w:val="1004"/>
        </w:numPr>
        <w:pStyle w:val="Compact"/>
      </w:pPr>
      <w:r>
        <w:rPr>
          <w:bCs/>
          <w:b/>
        </w:rPr>
        <w:t xml:space="preserve">Create Premium Service Bundles:</w:t>
      </w:r>
      <w:r>
        <w:t xml:space="preserve"> </w:t>
      </w:r>
      <w:r>
        <w:t xml:space="preserve">Launch "Elite Physiotherapy Packages" (combining diagnostics + 10 sessions) priced at 35% above standard rates. Our pilot program in Saint Petersburg showed these bundles achieved 68% repeat purchase rate versus industry average of 42%.</w:t>
      </w:r>
    </w:p>
    <w:bookmarkEnd w:id="25"/>
    <w:bookmarkStart w:id="26" w:name="Xf77f2040418bd0c253c0689d3e53f86465f6006"/>
    <w:p>
      <w:pPr>
        <w:pStyle w:val="Heading2"/>
      </w:pPr>
      <w:r>
        <w:t xml:space="preserve">Conclusion: Future Outlook for Physiotherapist Services</w:t>
      </w:r>
    </w:p>
    <w:p>
      <w:pPr>
        <w:pStyle w:val="FirstParagraph"/>
      </w:pPr>
      <w:r>
        <w:t xml:space="preserve">The Russia Saint Petersburg market presents exceptional growth potential for specialized physiotherapy services, with our Sales Report confirming that clinics prioritizing certified physiotherapist staff outperform competitors by 26% in revenue per client. As healthcare modernization accelerates across Russia, Saint Petersburg will remain the nation's premier testing ground for innovative physiotherapy models. We recommend doubling down on physician-physiotherapist collaboration and expanding tele-rehabilitation services – an emerging category experiencing 190% YoY growth in our Saint Petersburg operations.</w:t>
      </w:r>
    </w:p>
    <w:p>
      <w:pPr>
        <w:pStyle w:val="BodyText"/>
      </w:pPr>
      <w:r>
        <w:t xml:space="preserve">By strategically leveraging our physiotherapist talent pipeline within Russia Saint Petersburg, we project achieving 32% annual revenue growth for the healthcare division by Q4 2024. This Sales Report serves as the definitive roadmap for capitalizing on St. Petersburg's evolving medical landscape and positioning our organization as the market leader in evidence-based physiotherapy services across Russia.</w:t>
      </w:r>
    </w:p>
    <w:p>
      <w:pPr>
        <w:pStyle w:val="BodyText"/>
      </w:pPr>
      <w:r>
        <w:rPr>
          <w:iCs/>
          <w:i/>
        </w:rPr>
        <w:t xml:space="preserve">Report Prepared By: Global Healthcare Sales Division | Date: October 26, 2023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Saint Petersburg Market Analysis</dc:title>
  <dc:creator/>
  <dc:language>en</dc:language>
  <cp:keywords/>
  <dcterms:created xsi:type="dcterms:W3CDTF">2026-07-24T13:45:38Z</dcterms:created>
  <dcterms:modified xsi:type="dcterms:W3CDTF">2026-07-24T13:45:38Z</dcterms:modified>
</cp:coreProperties>
</file>

<file path=docProps/custom.xml><?xml version="1.0" encoding="utf-8"?>
<Properties xmlns="http://schemas.openxmlformats.org/officeDocument/2006/custom-properties" xmlns:vt="http://schemas.openxmlformats.org/officeDocument/2006/docPropsVTypes"/>
</file>