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44dfc9b7430834aee53290b7b5801efac5ea036"/>
    <w:p>
      <w:pPr>
        <w:pStyle w:val="Heading1"/>
      </w:pPr>
      <w:r>
        <w:t xml:space="preserve">Comprehensive Sales Performance Report: Physiotherapy Services in United Kingdom Birmingham</w:t>
      </w:r>
    </w:p>
    <w:bookmarkStart w:id="20" w:name="executive-summary"/>
    <w:p>
      <w:pPr>
        <w:pStyle w:val="Heading2"/>
      </w:pPr>
      <w:r>
        <w:t xml:space="preserve">Executive Summary</w:t>
      </w:r>
    </w:p>
    <w:p>
      <w:pPr>
        <w:pStyle w:val="FirstParagraph"/>
      </w:pPr>
      <w:r>
        <w:t xml:space="preserve">This Sales Report presents a detailed analysis of the physiotherapy service market within the United Kingdom Birmingham region for Q3 2023. As healthcare demand continues to rise across Birmingham's diverse population, this report evaluates revenue streams, patient acquisition metrics, and strategic opportunities for physiotherapy practices. The data confirms that Birmingham remains one of the UK's most dynamic markets for physiotherapy services, with a 14.7% year-on-year increase in service utilization reflecting growing community health awareness and an aging demographic. This document serves as a critical roadmap for our Birmingham-based Physiotherapist practice to optimize sales performance while maintaining clinical excellence within the United Kingdom healthcare landscape.</w:t>
      </w:r>
    </w:p>
    <w:bookmarkEnd w:id="20"/>
    <w:bookmarkStart w:id="21" w:name="X028c36a2d50866b579dc049ec3d765245e2b277"/>
    <w:p>
      <w:pPr>
        <w:pStyle w:val="Heading2"/>
      </w:pPr>
      <w:r>
        <w:t xml:space="preserve">Market Context: United Kingdom Birmingham Physiotherapy Landscape</w:t>
      </w:r>
    </w:p>
    <w:p>
      <w:pPr>
        <w:pStyle w:val="FirstParagraph"/>
      </w:pPr>
      <w:r>
        <w:t xml:space="preserve">Birmingham's position as the UK's second-largest city creates unique market dynamics for physiotherapy providers. With a population exceeding 1.1 million and significant ethnic diversity, the demand patterns differ markedly from national averages. The National Health Service (NHS) referral rates in Birmingham exceed the UK average by 22%, while private sector growth has accelerated due to rising public health consciousness following the pandemic. This report specifically examines our practice's performance against these regional trends, emphasizing how a dedicated Physiotherapist can leverage local market conditions for sustainable sales growth.</w:t>
      </w:r>
    </w:p>
    <w:p>
      <w:pPr>
        <w:pStyle w:val="BodyText"/>
      </w:pPr>
      <w:r>
        <w:t xml:space="preserve">Key regional factors influencing our Sales Report include Birmingham's high levels of obesity (32% adult prevalence versus 28% UK average), industrial injury rates in manufacturing sectors, and the city's strong focus on sports rehabilitation through institutions like Aston Villa Football Club. These elements create a robust foundation for physiotherapy service expansion, directly impacting our revenue streams.</w:t>
      </w:r>
    </w:p>
    <w:bookmarkEnd w:id="21"/>
    <w:bookmarkStart w:id="22" w:name="q3-2023-sales-performance-analysis"/>
    <w:p>
      <w:pPr>
        <w:pStyle w:val="Heading2"/>
      </w:pPr>
      <w:r>
        <w:t xml:space="preserve">Q3 2023 Sales Performance Analysis</w:t>
      </w:r>
    </w:p>
    <w:p>
      <w:pPr>
        <w:pStyle w:val="FirstParagraph"/>
      </w:pPr>
      <w:r>
        <w:t xml:space="preserve">Our Birmingham practice achieved £184,500 in total service revenue during Q3 2023 – a 17.3% increase from the same period last year. This growth outperformed both the Birmingham physiotherapy market average (9.4%) and the UK national benchmark (6.1%). The primary drivers were:</w:t>
      </w:r>
    </w:p>
    <w:p>
      <w:pPr>
        <w:numPr>
          <w:ilvl w:val="0"/>
          <w:numId w:val="1001"/>
        </w:numPr>
        <w:pStyle w:val="Compact"/>
      </w:pPr>
      <w:r>
        <w:rPr>
          <w:bCs/>
          <w:b/>
        </w:rPr>
        <w:t xml:space="preserve">Private Consultations:</w:t>
      </w:r>
      <w:r>
        <w:t xml:space="preserve"> </w:t>
      </w:r>
      <w:r>
        <w:t xml:space="preserve">68% of revenue (£125,460) from private clients – up 23% YoY due to targeted corporate partnerships with Birmingham-based manufacturers</w:t>
      </w:r>
    </w:p>
    <w:p>
      <w:pPr>
        <w:numPr>
          <w:ilvl w:val="0"/>
          <w:numId w:val="1001"/>
        </w:numPr>
        <w:pStyle w:val="Compact"/>
      </w:pPr>
      <w:r>
        <w:rPr>
          <w:bCs/>
          <w:b/>
        </w:rPr>
        <w:t xml:space="preserve">NHS Referrals:</w:t>
      </w:r>
      <w:r>
        <w:t xml:space="preserve"> </w:t>
      </w:r>
      <w:r>
        <w:t xml:space="preserve">24% of revenue (£44,280) showing steady growth (+8.1%) amid increased GP referrals following the NHS Long Term Plan implementation in West Midlands</w:t>
      </w:r>
    </w:p>
    <w:p>
      <w:pPr>
        <w:numPr>
          <w:ilvl w:val="0"/>
          <w:numId w:val="1001"/>
        </w:numPr>
        <w:pStyle w:val="Compact"/>
      </w:pPr>
      <w:r>
        <w:rPr>
          <w:bCs/>
          <w:b/>
        </w:rPr>
        <w:t xml:space="preserve">Specialized Programs:</w:t>
      </w:r>
      <w:r>
        <w:t xml:space="preserve"> </w:t>
      </w:r>
      <w:r>
        <w:t xml:space="preserve">8% of revenue (£14,760) from diabetes management and post-orthopedic programs – a 35% YoY surge driven by Birmingham City Council's Healthy Living Initiative</w:t>
      </w:r>
    </w:p>
    <w:p>
      <w:pPr>
        <w:pStyle w:val="FirstParagraph"/>
      </w:pPr>
      <w:r>
        <w:t xml:space="preserve">Clinically, our Physiotherapist team maintained exceptional patient retention at 82%, with 76% of private clients booking repeat appointments. The average treatment duration (12 sessions) remains below the Birmingham regional average (14 sessions), enhancing revenue velocity through efficient care pathways.</w:t>
      </w:r>
    </w:p>
    <w:bookmarkEnd w:id="22"/>
    <w:bookmarkStart w:id="23" w:name="competitive-positioning-analysis"/>
    <w:p>
      <w:pPr>
        <w:pStyle w:val="Heading2"/>
      </w:pPr>
      <w:r>
        <w:t xml:space="preserve">Competitive Positioning Analysis</w:t>
      </w:r>
    </w:p>
    <w:p>
      <w:pPr>
        <w:pStyle w:val="FirstParagraph"/>
      </w:pPr>
      <w:r>
        <w:t xml:space="preserve">Comparative analysis against 38 Birmingham physiotherapy practices reveals our competitive advantage:</w:t>
      </w:r>
    </w:p>
    <w:p>
      <w:pPr>
        <w:pStyle w:val="BodyText"/>
      </w:pPr>
      <w:r>
        <w:t xml:space="preserve">Performance Metric</w:t>
      </w:r>
    </w:p>
    <w:p>
      <w:pPr>
        <w:pStyle w:val="BodyText"/>
      </w:pPr>
      <w:r>
        <w:t xml:space="preserve">Ours (Q3)</w:t>
      </w:r>
    </w:p>
    <w:p>
      <w:pPr>
        <w:pStyle w:val="BodyText"/>
      </w:pPr>
      <w:r>
        <w:t xml:space="preserve">Birmingham Avg.</w:t>
      </w:r>
    </w:p>
    <w:p>
      <w:pPr>
        <w:pStyle w:val="BodyText"/>
      </w:pPr>
      <w:r>
        <w:t xml:space="preserve">UK Avg.</w:t>
      </w:r>
    </w:p>
    <w:p>
      <w:pPr>
        <w:pStyle w:val="BodyText"/>
      </w:pPr>
      <w:r>
        <w:t xml:space="preserve">Average Revenue per Client</w:t>
      </w:r>
    </w:p>
    <w:p>
      <w:pPr>
        <w:pStyle w:val="BodyText"/>
      </w:pPr>
      <w:r>
        <w:t xml:space="preserve">£215</w:t>
      </w:r>
    </w:p>
    <w:p>
      <w:pPr>
        <w:pStyle w:val="BodyText"/>
      </w:pPr>
      <w:r>
        <w:t xml:space="preserve">£192</w:t>
      </w:r>
    </w:p>
    <w:p>
      <w:pPr>
        <w:pStyle w:val="BodyText"/>
      </w:pPr>
      <w:r>
        <w:t xml:space="preserve">£178</w:t>
      </w:r>
    </w:p>
    <w:p>
      <w:pPr>
        <w:pStyle w:val="BodyText"/>
      </w:pPr>
      <w:r>
        <w:t xml:space="preserve">Patient Retention Rate</w:t>
      </w:r>
    </w:p>
    <w:p>
      <w:pPr>
        <w:pStyle w:val="BodyText"/>
      </w:pPr>
      <w:r>
        <w:t xml:space="preserve">82%</w:t>
      </w:r>
    </w:p>
    <w:p>
      <w:pPr>
        <w:pStyle w:val="BodyText"/>
      </w:pPr>
      <w:r>
        <w:t xml:space="preserve">&lt;</w:t>
      </w:r>
    </w:p>
    <w:p>
      <w:pPr>
        <w:pStyle w:val="BodyText"/>
      </w:pPr>
      <w:r>
        <w:t xml:space="preserve">73%</w:t>
      </w:r>
    </w:p>
    <w:p>
      <w:pPr>
        <w:pStyle w:val="BodyText"/>
      </w:pPr>
      <w:r>
        <w:t xml:space="preserve">Conversion from Initial Consult to Package Deal</w:t>
      </w:r>
    </w:p>
    <w:p>
      <w:pPr>
        <w:pStyle w:val="BodyText"/>
      </w:pPr>
      <w:r>
        <w:t xml:space="preserve">Birmingham Avg.</w:t>
      </w:r>
    </w:p>
    <w:p>
      <w:pPr>
        <w:pStyle w:val="BodyText"/>
      </w:pPr>
      <w:r>
        <w:t xml:space="preserve">58%</w:t>
      </w:r>
    </w:p>
    <w:p>
      <w:pPr>
        <w:pStyle w:val="BodyText"/>
      </w:pPr>
      <w:r>
        <w:t xml:space="preserve">This positioning demonstrates that our Birmingham practice effectively translates clinical expertise into commercial success, with our Physiotherapist staff achieving 42% higher package conversion rates than local competitors. The key differentiator is our specialized "Birmingham Injury Prevention Program" targeting local manufacturing sector workers – a service absent in 89% of competing clinics.</w:t>
      </w:r>
    </w:p>
    <w:bookmarkEnd w:id="23"/>
    <w:bookmarkStart w:id="24" w:name="X95e6480cdf945fd57dc0fae961337d2e49c446c"/>
    <w:p>
      <w:pPr>
        <w:pStyle w:val="Heading2"/>
      </w:pPr>
      <w:r>
        <w:t xml:space="preserve">Marketing and Patient Acquisition Strategy</w:t>
      </w:r>
    </w:p>
    <w:p>
      <w:pPr>
        <w:pStyle w:val="FirstParagraph"/>
      </w:pPr>
      <w:r>
        <w:t xml:space="preserve">Our targeted approach in United Kingdom Birmingham has generated exceptional results:</w:t>
      </w:r>
    </w:p>
    <w:p>
      <w:pPr>
        <w:numPr>
          <w:ilvl w:val="0"/>
          <w:numId w:val="1002"/>
        </w:numPr>
        <w:pStyle w:val="Compact"/>
      </w:pPr>
      <w:r>
        <w:rPr>
          <w:bCs/>
          <w:b/>
        </w:rPr>
        <w:t xml:space="preserve">NHS Partnership Development:</w:t>
      </w:r>
      <w:r>
        <w:t xml:space="preserve"> </w:t>
      </w:r>
      <w:r>
        <w:t xml:space="preserve">Secured contracts with 3 Birmingham community health centers, generating £18,000 monthly revenue through integrated care pathways</w:t>
      </w:r>
    </w:p>
    <w:p>
      <w:pPr>
        <w:numPr>
          <w:ilvl w:val="0"/>
          <w:numId w:val="1002"/>
        </w:numPr>
        <w:pStyle w:val="Compact"/>
      </w:pPr>
      <w:r>
        <w:rPr>
          <w:bCs/>
          <w:b/>
        </w:rPr>
        <w:t xml:space="preserve">Corporate Wellness Programs:</w:t>
      </w:r>
      <w:r>
        <w:t xml:space="preserve"> </w:t>
      </w:r>
      <w:r>
        <w:t xml:space="preserve">Partnerships with major employers (including Jaguar Land Rover and University of Birmingham) yielding 32% of private revenue through pre-paid staff wellness packages</w:t>
      </w:r>
    </w:p>
    <w:p>
      <w:pPr>
        <w:pStyle w:val="FirstParagraph"/>
      </w:pPr>
      <w:r>
        <w:t xml:space="preserve">Notably, our referral program for GPs across Birmingham's primary care networks now generates 37% of new patients – a figure 2x higher than the regional benchmark. The "Physiotherapist Partner Program" offering exclusive discounts to referring clinicians has been pivotal in these results.</w:t>
      </w:r>
    </w:p>
    <w:bookmarkEnd w:id="24"/>
    <w:bookmarkStart w:id="25" w:name="challenges-and-strategic-imperatives"/>
    <w:p>
      <w:pPr>
        <w:pStyle w:val="Heading2"/>
      </w:pPr>
      <w:r>
        <w:t xml:space="preserve">Challenges and Strategic Imperatives</w:t>
      </w:r>
    </w:p>
    <w:p>
      <w:pPr>
        <w:pStyle w:val="FirstParagraph"/>
      </w:pPr>
      <w:r>
        <w:t xml:space="preserve">Despite strong performance, three challenges require immediate attention for sustained growth:</w:t>
      </w:r>
    </w:p>
    <w:p>
      <w:pPr>
        <w:numPr>
          <w:ilvl w:val="0"/>
          <w:numId w:val="1003"/>
        </w:numPr>
        <w:pStyle w:val="Compact"/>
      </w:pPr>
      <w:r>
        <w:rPr>
          <w:bCs/>
          <w:b/>
        </w:rPr>
        <w:t xml:space="preserve">Labor Shortages:</w:t>
      </w:r>
      <w:r>
        <w:t xml:space="preserve"> </w:t>
      </w:r>
      <w:r>
        <w:t xml:space="preserve">Birmingham's physiotherapy vacancy rate (18.4%) exceeds the UK average (12.6%), threatening service delivery capacity</w:t>
      </w:r>
    </w:p>
    <w:p>
      <w:pPr>
        <w:numPr>
          <w:ilvl w:val="0"/>
          <w:numId w:val="1003"/>
        </w:numPr>
        <w:pStyle w:val="Compact"/>
      </w:pPr>
      <w:r>
        <w:rPr>
          <w:bCs/>
          <w:b/>
        </w:rPr>
        <w:t xml:space="preserve">Payment Delays:</w:t>
      </w:r>
      <w:r>
        <w:t xml:space="preserve"> </w:t>
      </w:r>
      <w:r>
        <w:t xml:space="preserve">NHS payment cycles in Birmingham average 97 days, creating cash flow pressure compared to national standard of 75 days</w:t>
      </w:r>
    </w:p>
    <w:p>
      <w:pPr>
        <w:numPr>
          <w:ilvl w:val="0"/>
          <w:numId w:val="1003"/>
        </w:numPr>
        <w:pStyle w:val="Compact"/>
      </w:pPr>
      <w:r>
        <w:rPr>
          <w:bCs/>
          <w:b/>
        </w:rPr>
        <w:t xml:space="preserve">Competition Intensification:</w:t>
      </w:r>
      <w:r>
        <w:t xml:space="preserve"> </w:t>
      </w:r>
      <w:r>
        <w:t xml:space="preserve">New private clinics entering Birmingham's market (6 new openings in Q3) necessitate enhanced differentiation</w:t>
      </w:r>
    </w:p>
    <w:p>
      <w:pPr>
        <w:pStyle w:val="FirstParagraph"/>
      </w:pPr>
      <w:r>
        <w:t xml:space="preserve">To counter these challenges, our strategic priorities include: developing a hybrid NHS/private service model to stabilize revenue streams, implementing AI-powered scheduling to reduce no-shows (currently 19% in Birmingham), and expanding our digital presence with virtual physiotherapy options – a service currently underrepresented in the Birmingham market.</w:t>
      </w:r>
    </w:p>
    <w:bookmarkEnd w:id="25"/>
    <w:bookmarkStart w:id="26" w:name="future-outlook-and-recommendations"/>
    <w:p>
      <w:pPr>
        <w:pStyle w:val="Heading2"/>
      </w:pPr>
      <w:r>
        <w:t xml:space="preserve">Future Outlook and Recommendations</w:t>
      </w:r>
    </w:p>
    <w:p>
      <w:pPr>
        <w:pStyle w:val="FirstParagraph"/>
      </w:pPr>
      <w:r>
        <w:t xml:space="preserve">For Q4 2023, we project £215,000 in revenue (16.5% YoY growth) through three key initiatives:</w:t>
      </w:r>
    </w:p>
    <w:p>
      <w:pPr>
        <w:numPr>
          <w:ilvl w:val="0"/>
          <w:numId w:val="1004"/>
        </w:numPr>
        <w:pStyle w:val="Compact"/>
      </w:pPr>
      <w:r>
        <w:rPr>
          <w:bCs/>
          <w:b/>
        </w:rPr>
        <w:t xml:space="preserve">Birmingham Sports Rehabilitation Hub:</w:t>
      </w:r>
      <w:r>
        <w:t xml:space="preserve"> </w:t>
      </w:r>
      <w:r>
        <w:t xml:space="preserve">Launching partnerships with local football academies and schools to capture youth sports injury market</w:t>
      </w:r>
    </w:p>
    <w:p>
      <w:pPr>
        <w:numPr>
          <w:ilvl w:val="0"/>
          <w:numId w:val="1004"/>
        </w:numPr>
        <w:pStyle w:val="Compact"/>
      </w:pPr>
      <w:r>
        <w:rPr>
          <w:bCs/>
          <w:b/>
        </w:rPr>
        <w:t xml:space="preserve">Community Health Screenings:</w:t>
      </w:r>
      <w:r>
        <w:t xml:space="preserve"> </w:t>
      </w:r>
      <w:r>
        <w:t xml:space="preserve">Pop-up clinics in Birmingham libraries and community centers targeting elderly populations (32% of Birmingham's population over 65)</w:t>
      </w:r>
    </w:p>
    <w:p>
      <w:pPr>
        <w:pStyle w:val="FirstParagraph"/>
      </w:pPr>
      <w:r>
        <w:t xml:space="preserve">Crucially, our Physiotherapist team will undergo specialized training in Birmingham-specific conditions including industrial injury rehabilitation and diabetes-related mobility issues – directly aligning clinical capabilities with regional health needs. This targeted approach ensures our services remain uniquely positioned within the United Kingdom Birmingham healthcare ecosystem.</w:t>
      </w:r>
    </w:p>
    <w:bookmarkEnd w:id="26"/>
    <w:bookmarkStart w:id="27" w:name="conclusion"/>
    <w:p>
      <w:pPr>
        <w:pStyle w:val="Heading2"/>
      </w:pPr>
      <w:r>
        <w:t xml:space="preserve">Conclusion</w:t>
      </w:r>
    </w:p>
    <w:p>
      <w:pPr>
        <w:pStyle w:val="FirstParagraph"/>
      </w:pPr>
      <w:r>
        <w:t xml:space="preserve">This Sales Report underscores that the Physiotherapist practice in United Kingdom Birmingham has achieved exceptional market performance through localized service design and strategic community integration. The 17.3% revenue growth demonstrates that understanding regional healthcare dynamics – from manufacturing sector injury patterns to cultural health preferences across Birmingham's diverse neighborhoods – directly drives commercial success.</w:t>
      </w:r>
    </w:p>
    <w:p>
      <w:pPr>
        <w:pStyle w:val="BodyText"/>
      </w:pPr>
      <w:r>
        <w:t xml:space="preserve">As we move forward, our focus must remain on deepening Birmingham-specific expertise while maintaining the clinical excellence that forms the foundation of every patient interaction. By continuing to tailor physiotherapy solutions to Birmingham's unique demographic and socioeconomic profile, our practice will solidify its position as a market leader in United Kingdom physiotherapy services. We recommend allocating 25% of Q4 marketing budget exclusively toward Birmingham community health initiatives to accelerate revenue growth while strengthening our local healthcare footprint.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United Kingdom Birmingham</dc:title>
  <dc:creator/>
  <dc:language>en</dc:language>
  <cp:keywords/>
  <dcterms:created xsi:type="dcterms:W3CDTF">2026-07-23T22:18:00Z</dcterms:created>
  <dcterms:modified xsi:type="dcterms:W3CDTF">2026-07-23T22:18:00Z</dcterms:modified>
</cp:coreProperties>
</file>

<file path=docProps/custom.xml><?xml version="1.0" encoding="utf-8"?>
<Properties xmlns="http://schemas.openxmlformats.org/officeDocument/2006/custom-properties" xmlns:vt="http://schemas.openxmlformats.org/officeDocument/2006/docPropsVTypes"/>
</file>