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X9270fa36fed3a6dc927e37bed1888e15872cf60"/>
    <w:p>
      <w:pPr>
        <w:pStyle w:val="Heading1"/>
      </w:pPr>
      <w:r>
        <w:t xml:space="preserve">Physiotherapist Sales Performance Report</w:t>
      </w:r>
      <w:r>
        <w:br/>
      </w:r>
      <w:r>
        <w:t xml:space="preserve">Chicago, United States Market Analysis</w:t>
      </w:r>
    </w:p>
    <w:p>
      <w:pPr>
        <w:pStyle w:val="FirstParagraph"/>
      </w:pPr>
      <w:r>
        <w:t xml:space="preserve">Prepared for Stakeholders in the Chicago Healthcare Ecosystem |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physiotherapy services across Chicago, United States. As healthcare consumption continues to rise in the Midwest's largest metropolitan area, our Chicago-based physiotherapy practice has demonstrated significant growth in patient acquisition and service revenue. This document serves as a critical analysis of our sales trajectory within the competitive landscape of United States Chicago, highlighting how targeted strategies have positioned us for sustained expansion.</w:t>
      </w:r>
    </w:p>
    <w:bookmarkEnd w:id="20"/>
    <w:bookmarkStart w:id="21" w:name="X9bc1e804f7bec35b7e1ae26cf9a9738231c9be8"/>
    <w:p>
      <w:pPr>
        <w:pStyle w:val="Heading2"/>
      </w:pPr>
      <w:r>
        <w:t xml:space="preserve">Market Context: Chicago's Physiotherapy Landscape</w:t>
      </w:r>
    </w:p>
    <w:p>
      <w:pPr>
        <w:pStyle w:val="FirstParagraph"/>
      </w:pPr>
      <w:r>
        <w:t xml:space="preserve">Chicago represents a pivotal market within the United States healthcare sector, serving over 2.7 million residents with acute and chronic musculoskeletal conditions. The city's aging population (15% over 65) and high incidence of sports-related injuries create consistent demand for specialized physiotherapy services. According to Chicago Department of Public Health data, orthopedic rehabilitation services have grown by 12.7% annually in the last five years – a trend directly benefiting our practice. This report confirms that our Chicago operations have outperformed regional averages by 8.3% in new client acquisition during Q3.</w:t>
      </w:r>
    </w:p>
    <w:bookmarkEnd w:id="21"/>
    <w:bookmarkStart w:id="24" w:name="sales-performance-breakdown"/>
    <w:p>
      <w:pPr>
        <w:pStyle w:val="Heading2"/>
      </w:pPr>
      <w:r>
        <w:t xml:space="preserve">Sales Performance Breakdown</w:t>
      </w:r>
    </w:p>
    <w:bookmarkStart w:id="22" w:name="revenue-streams-analysis"/>
    <w:p>
      <w:pPr>
        <w:pStyle w:val="Heading3"/>
      </w:pPr>
      <w:r>
        <w:t xml:space="preserve">Revenue Streams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Movement from Q2</w:t>
            </w:r>
          </w:p>
        </w:tc>
      </w:tr>
      <w:tr>
        <w:tc>
          <w:tcPr/>
          <w:p>
            <w:pPr>
              <w:pStyle w:val="Compact"/>
              <w:jc w:val="left"/>
            </w:pPr>
            <w:r>
              <w:t xml:space="preserve">Post-Surgical Rehabilitation</w:t>
            </w:r>
          </w:p>
        </w:tc>
        <w:tc>
          <w:tcPr/>
          <w:p>
            <w:pPr>
              <w:pStyle w:val="Compact"/>
              <w:jc w:val="left"/>
            </w:pPr>
            <w:r>
              <w:t xml:space="preserve">$142,500</w:t>
            </w:r>
          </w:p>
        </w:tc>
        <w:tc>
          <w:tcPr/>
          <w:p>
            <w:pPr>
              <w:pStyle w:val="Compact"/>
              <w:jc w:val="left"/>
            </w:pPr>
            <w:r>
              <w:t xml:space="preserve">43.8%</w:t>
            </w:r>
          </w:p>
        </w:tc>
        <w:tc>
          <w:tcPr/>
          <w:p>
            <w:pPr>
              <w:pStyle w:val="Compact"/>
              <w:jc w:val="left"/>
            </w:pPr>
            <w:r>
              <w:t xml:space="preserve">+17.2%</w:t>
            </w:r>
          </w:p>
        </w:tc>
      </w:tr>
      <w:tr>
        <w:tc>
          <w:tcPr/>
          <w:p>
            <w:pPr>
              <w:pStyle w:val="Compact"/>
              <w:jc w:val="left"/>
            </w:pPr>
            <w:r>
              <w:t xml:space="preserve">Chronic Pain Management</w:t>
            </w:r>
          </w:p>
        </w:tc>
        <w:tc>
          <w:tcPr/>
          <w:p>
            <w:pPr>
              <w:pStyle w:val="Compact"/>
              <w:jc w:val="left"/>
            </w:pPr>
            <w:r>
              <w:t xml:space="preserve">$98,250</w:t>
            </w:r>
          </w:p>
        </w:tc>
        <w:tc>
          <w:tcPr/>
          <w:p>
            <w:pPr>
              <w:pStyle w:val="Compact"/>
              <w:jc w:val="left"/>
            </w:pPr>
            <w:r>
              <w:t xml:space="preserve">30.2%</w:t>
            </w:r>
          </w:p>
        </w:tc>
        <w:tc>
          <w:tcPr/>
          <w:p>
            <w:pPr>
              <w:pStyle w:val="Compact"/>
              <w:jc w:val="left"/>
            </w:pPr>
            <w:r>
              <w:t xml:space="preserve">+11.5%</w:t>
            </w:r>
          </w:p>
        </w:tc>
      </w:tr>
      <w:tr>
        <w:tc>
          <w:tcPr/>
          <w:p>
            <w:pPr>
              <w:pStyle w:val="Compact"/>
              <w:jc w:val="left"/>
            </w:pPr>
            <w:r>
              <w:t xml:space="preserve">Sports Injury Therapy</w:t>
            </w:r>
          </w:p>
        </w:tc>
        <w:tc>
          <w:tcPr/>
          <w:p>
            <w:pPr>
              <w:pStyle w:val="Compact"/>
              <w:jc w:val="left"/>
            </w:pPr>
            <w:r>
              <w:t xml:space="preserve">$64,800</w:t>
            </w:r>
          </w:p>
        </w:tc>
        <w:tc>
          <w:tcPr/>
          <w:p>
            <w:pPr>
              <w:pStyle w:val="Compact"/>
              <w:jc w:val="left"/>
            </w:pPr>
            <w:r>
              <w:t xml:space="preserve">19.9%</w:t>
            </w:r>
          </w:p>
        </w:tc>
        <w:tc>
          <w:tcPr/>
          <w:p>
            <w:pPr>
              <w:pStyle w:val="Compact"/>
              <w:jc w:val="left"/>
            </w:pPr>
            <w:r>
              <w:t xml:space="preserve">+23.4%</w:t>
            </w:r>
          </w:p>
        </w:tc>
      </w:tr>
      <w:tr>
        <w:tc>
          <w:tcPr/>
          <w:p>
            <w:pPr>
              <w:pStyle w:val="Compact"/>
              <w:jc w:val="left"/>
            </w:pPr>
            <w:r>
              <w:t xml:space="preserve">Workplace Ergonomics Programs</w:t>
            </w:r>
          </w:p>
        </w:tc>
        <w:tc>
          <w:tcPr/>
          <w:p>
            <w:pPr>
              <w:pStyle w:val="Compact"/>
              <w:jc w:val="left"/>
            </w:pPr>
            <w:r>
              <w:t xml:space="preserve">$27,500</w:t>
            </w:r>
          </w:p>
        </w:tc>
        <w:tc>
          <w:tcPr/>
          <w:p>
            <w:pPr>
              <w:pStyle w:val="Compact"/>
              <w:jc w:val="left"/>
            </w:pPr>
            <w:r>
              <w:t xml:space="preserve">8.4%</w:t>
            </w:r>
          </w:p>
        </w:tc>
        <w:tc>
          <w:tcPr/>
          <w:p>
            <w:pPr>
              <w:pStyle w:val="Compact"/>
              <w:jc w:val="left"/>
            </w:pPr>
            <w:r>
              <w:t xml:space="preserve">+35.1%</w:t>
            </w:r>
          </w:p>
        </w:tc>
      </w:tr>
    </w:tbl>
    <w:p>
      <w:pPr>
        <w:pStyle w:val="BodyText"/>
      </w:pPr>
      <w:r>
        <w:t xml:space="preserve">The data confirms that our Chicago physiotherapy practice has achieved $333,050 in total Q3 revenue – a 16.7% year-over-year increase. Notably, the 23.4% surge in Sports Injury Therapy sales directly correlates with peak season for Chicago's major sports franchises (Bulls, Bears, Blackhawks) and university athletics programs across the United States.</w:t>
      </w:r>
    </w:p>
    <w:bookmarkEnd w:id="22"/>
    <w:bookmarkStart w:id="23" w:name="client-acquisition-metrics"/>
    <w:p>
      <w:pPr>
        <w:pStyle w:val="Heading3"/>
      </w:pPr>
      <w:r>
        <w:t xml:space="preserve">Client Acquisition Metrics</w:t>
      </w:r>
    </w:p>
    <w:p>
      <w:pPr>
        <w:pStyle w:val="FirstParagraph"/>
      </w:pPr>
      <w:r>
        <w:t xml:space="preserve">Our Sales Report reveals exceptional performance in client acquisition within United States Chicago:</w:t>
      </w:r>
    </w:p>
    <w:p>
      <w:pPr>
        <w:numPr>
          <w:ilvl w:val="0"/>
          <w:numId w:val="1001"/>
        </w:numPr>
        <w:pStyle w:val="Compact"/>
      </w:pPr>
      <w:r>
        <w:rPr>
          <w:bCs/>
          <w:b/>
        </w:rPr>
        <w:t xml:space="preserve">New Patient Growth:</w:t>
      </w:r>
      <w:r>
        <w:t xml:space="preserve"> </w:t>
      </w:r>
      <w:r>
        <w:t xml:space="preserve">42% increase over Q2 (from 87 to 124 new clients)</w:t>
      </w:r>
    </w:p>
    <w:p>
      <w:pPr>
        <w:numPr>
          <w:ilvl w:val="0"/>
          <w:numId w:val="1001"/>
        </w:numPr>
        <w:pStyle w:val="Compact"/>
      </w:pPr>
      <w:r>
        <w:rPr>
          <w:bCs/>
          <w:b/>
        </w:rPr>
        <w:t xml:space="preserve">Referral Rate:</w:t>
      </w:r>
      <w:r>
        <w:t xml:space="preserve"> </w:t>
      </w:r>
      <w:r>
        <w:t xml:space="preserve">Highest in Chicago market at 38.7% (industry average: 29.1%)</w:t>
      </w:r>
    </w:p>
    <w:p>
      <w:pPr>
        <w:numPr>
          <w:ilvl w:val="0"/>
          <w:numId w:val="1001"/>
        </w:numPr>
        <w:pStyle w:val="Compact"/>
      </w:pPr>
      <w:r>
        <w:rPr>
          <w:bCs/>
          <w:b/>
        </w:rPr>
        <w:t xml:space="preserve">Insurance Partnerships:</w:t>
      </w:r>
      <w:r>
        <w:t xml:space="preserve"> </w:t>
      </w:r>
      <w:r>
        <w:t xml:space="preserve">Secured contracts with UnitedHealthcare and Aetna for 6 new corporate wellness programs</w:t>
      </w:r>
    </w:p>
    <w:p>
      <w:pPr>
        <w:numPr>
          <w:ilvl w:val="0"/>
          <w:numId w:val="1001"/>
        </w:numPr>
        <w:pStyle w:val="Compact"/>
      </w:pPr>
      <w:r>
        <w:rPr>
          <w:bCs/>
          <w:b/>
        </w:rPr>
        <w:t xml:space="preserve">Satisfaction Score:</w:t>
      </w:r>
      <w:r>
        <w:t xml:space="preserve"> </w:t>
      </w:r>
      <w:r>
        <w:t xml:space="preserve">4.7/5 on patient retention surveys (vs. Chicago average: 4.2)</w:t>
      </w:r>
    </w:p>
    <w:bookmarkEnd w:id="23"/>
    <w:bookmarkEnd w:id="24"/>
    <w:bookmarkStart w:id="27" w:name="strategic-analysis-of-sales-drivers"/>
    <w:p>
      <w:pPr>
        <w:pStyle w:val="Heading2"/>
      </w:pPr>
      <w:r>
        <w:t xml:space="preserve">Strategic Analysis of Sales Drivers</w:t>
      </w:r>
    </w:p>
    <w:p>
      <w:pPr>
        <w:pStyle w:val="FirstParagraph"/>
      </w:pPr>
      <w:r>
        <w:t xml:space="preserve">The success in our physiotherapy sales performance stems from three key Chicago-specific strategies:</w:t>
      </w:r>
    </w:p>
    <w:bookmarkStart w:id="25" w:name="hyper-local-community-integration"/>
    <w:p>
      <w:pPr>
        <w:pStyle w:val="Heading3"/>
      </w:pPr>
      <w:r>
        <w:t xml:space="preserve">1. Hyper-Local Community Integration</w:t>
      </w:r>
    </w:p>
    <w:p>
      <w:pPr>
        <w:pStyle w:val="FirstParagraph"/>
      </w:pPr>
      <w:r>
        <w:t xml:space="preserve">Unlike national chains, we've embedded our practice into Chicago's neighborhood fabric. Partnering with 17 local community centers across the city – including the South Side Recreation Department and Lincoln Park Wellness Alliance – has generated 28% of new patients through trusted referrals. This grassroots approach demonstrates how understanding United States Chicago's diverse neighborhoods creates sustainable sales growth.</w:t>
      </w:r>
    </w:p>
    <w:bookmarkEnd w:id="25"/>
    <w:bookmarkStart w:id="26" w:name="digital-transformation-in-sales-outreach"/>
    <w:p>
      <w:pPr>
        <w:pStyle w:val="Heading3"/>
      </w:pPr>
      <w:r>
        <w:t xml:space="preserve">2. Digital Transformation in Sales Outreach</w:t>
      </w:r>
    </w:p>
    <w:p>
      <w:pPr>
        <w:pStyle w:val="FirstParagraph"/>
      </w:pPr>
      <w:r>
        <w:t xml:space="preserve">We implemented a Chicago-specific patient acquisition platform that analyzes neighborhood health data, resulting in 64% of new leads coming from targeted digital campaigns. The platform identifies high-demand areas like the Gold Coast (for post-surgical care) and the Near North Side (for sports injuries), directly aligning our sales efforts with market needs.</w:t>
      </w:r>
    </w:p>
    <w:p>
      <w:pPr>
        <w:pStyle w:val="BodyText"/>
      </w:pPr>
      <w:r>
        <w:t xml:space="preserve">3. Employer Partnership Program</w:t>
      </w:r>
    </w:p>
    <w:p>
      <w:pPr>
        <w:pStyle w:val="BodyText"/>
      </w:pPr>
      <w:r>
        <w:t xml:space="preserve">Our Sales Report highlights a breakthrough with Chicago's corporate sector. We now serve 12 major employers including United Airlines, Walgreens, and the City of Chicago itself through comprehensive workplace wellness contracts – representing 19% of total revenue. This strategy capitalizes on Chicago's status as a national business hub within the United States.</w:t>
      </w:r>
    </w:p>
    <w:bookmarkEnd w:id="26"/>
    <w:bookmarkEnd w:id="27"/>
    <w:bookmarkStart w:id="28" w:name="challenges-in-chicago-market"/>
    <w:p>
      <w:pPr>
        <w:pStyle w:val="Heading2"/>
      </w:pPr>
      <w:r>
        <w:t xml:space="preserve">Challenges in Chicago Market</w:t>
      </w:r>
    </w:p>
    <w:p>
      <w:pPr>
        <w:pStyle w:val="FirstParagraph"/>
      </w:pPr>
      <w:r>
        <w:t xml:space="preserve">Despite strong performance, our Sales Report identifies critical challenges requiring immediate attention:</w:t>
      </w:r>
    </w:p>
    <w:p>
      <w:pPr>
        <w:numPr>
          <w:ilvl w:val="0"/>
          <w:numId w:val="1002"/>
        </w:numPr>
        <w:pStyle w:val="Compact"/>
      </w:pPr>
      <w:r>
        <w:rPr>
          <w:bCs/>
          <w:b/>
        </w:rPr>
        <w:t xml:space="preserve">Insurance Reimbursement Pressures:</w:t>
      </w:r>
      <w:r>
        <w:t xml:space="preserve"> </w:t>
      </w:r>
      <w:r>
        <w:t xml:space="preserve">CMS payment cuts have reduced per-visit revenue by 9.3% for Chicago practices</w:t>
      </w:r>
    </w:p>
    <w:p>
      <w:pPr>
        <w:numPr>
          <w:ilvl w:val="0"/>
          <w:numId w:val="1002"/>
        </w:numPr>
        <w:pStyle w:val="Compact"/>
      </w:pPr>
      <w:r>
        <w:rPr>
          <w:bCs/>
          <w:b/>
        </w:rPr>
        <w:t xml:space="preserve">Talent Shortage:</w:t>
      </w:r>
      <w:r>
        <w:t xml:space="preserve"> </w:t>
      </w:r>
      <w:r>
        <w:t xml:space="preserve">Chicago faces a 14.6% deficit in licensed physiotherapists versus demand (Chicago Health Workforce Study)</w:t>
      </w:r>
    </w:p>
    <w:p>
      <w:pPr>
        <w:numPr>
          <w:ilvl w:val="0"/>
          <w:numId w:val="1002"/>
        </w:numPr>
        <w:pStyle w:val="Compact"/>
      </w:pPr>
      <w:r>
        <w:rPr>
          <w:bCs/>
          <w:b/>
        </w:rPr>
        <w:t xml:space="preserve">Competition Intensification:</w:t>
      </w:r>
      <w:r>
        <w:t xml:space="preserve"> </w:t>
      </w:r>
      <w:r>
        <w:t xml:space="preserve">New clinic openings increased by 22% in the last year across United States Chicago</w:t>
      </w:r>
    </w:p>
    <w:bookmarkEnd w:id="28"/>
    <w:bookmarkStart w:id="29" w:name="future-growth-strategies"/>
    <w:p>
      <w:pPr>
        <w:pStyle w:val="Heading2"/>
      </w:pPr>
      <w:r>
        <w:t xml:space="preserve">Future Growth Strategies</w:t>
      </w:r>
    </w:p>
    <w:p>
      <w:pPr>
        <w:pStyle w:val="FirstParagraph"/>
      </w:pPr>
      <w:r>
        <w:t xml:space="preserve">To maintain leadership in the Chicago physiotherapy market, we propose these data-driven initiatives:</w:t>
      </w:r>
    </w:p>
    <w:p>
      <w:pPr>
        <w:numPr>
          <w:ilvl w:val="0"/>
          <w:numId w:val="1003"/>
        </w:numPr>
        <w:pStyle w:val="Compact"/>
      </w:pPr>
      <w:r>
        <w:rPr>
          <w:bCs/>
          <w:b/>
        </w:rPr>
        <w:t xml:space="preserve">Expand Telehealth Integration:</w:t>
      </w:r>
      <w:r>
        <w:t xml:space="preserve"> </w:t>
      </w:r>
      <w:r>
        <w:t xml:space="preserve">Launch Chicago-specific virtual therapy sessions for underserved neighborhoods (targeting 30% of services by Q1 2024)</w:t>
      </w:r>
    </w:p>
    <w:p>
      <w:pPr>
        <w:numPr>
          <w:ilvl w:val="0"/>
          <w:numId w:val="1003"/>
        </w:numPr>
        <w:pStyle w:val="Compact"/>
      </w:pPr>
      <w:r>
        <w:rPr>
          <w:bCs/>
          <w:b/>
        </w:rPr>
        <w:t xml:space="preserve">Specialized Community Clinics:</w:t>
      </w:r>
      <w:r>
        <w:t xml:space="preserve"> </w:t>
      </w:r>
      <w:r>
        <w:t xml:space="preserve">Open two neighborhood clinics in South Shore and Albany Park – areas with highest unmet need per Chicago Department of Public Health data</w:t>
      </w:r>
    </w:p>
    <w:p>
      <w:pPr>
        <w:numPr>
          <w:ilvl w:val="0"/>
          <w:numId w:val="1003"/>
        </w:numPr>
        <w:pStyle w:val="Compact"/>
      </w:pPr>
      <w:r>
        <w:rPr>
          <w:bCs/>
          <w:b/>
        </w:rPr>
        <w:t xml:space="preserve">Leverage University Partnerships:</w:t>
      </w:r>
      <w:r>
        <w:t xml:space="preserve"> </w:t>
      </w:r>
      <w:r>
        <w:t xml:space="preserve">Formalize relationships with Northwestern, UIC, and DePaul physical therapy programs for talent pipeline development</w:t>
      </w:r>
    </w:p>
    <w:p>
      <w:pPr>
        <w:numPr>
          <w:ilvl w:val="0"/>
          <w:numId w:val="1003"/>
        </w:numPr>
        <w:pStyle w:val="Compact"/>
      </w:pPr>
      <w:r>
        <w:rPr>
          <w:bCs/>
          <w:b/>
        </w:rPr>
        <w:t xml:space="preserve">Predictive Analytics Investment:</w:t>
      </w:r>
      <w:r>
        <w:t xml:space="preserve"> </w:t>
      </w:r>
      <w:r>
        <w:t xml:space="preserve">Implement AI-driven demand forecasting using Chicago's public health datasets to anticipate seasonal injury patterns</w:t>
      </w:r>
    </w:p>
    <w:bookmarkEnd w:id="29"/>
    <w:bookmarkStart w:id="30" w:name="X9edf68ac83a75fd1ecd88c6b63e119ec655b11c"/>
    <w:p>
      <w:pPr>
        <w:pStyle w:val="Heading2"/>
      </w:pPr>
      <w:r>
        <w:t xml:space="preserve">Conclusion: Positioning for Chicago Dominance</w:t>
      </w:r>
    </w:p>
    <w:p>
      <w:pPr>
        <w:pStyle w:val="FirstParagraph"/>
      </w:pPr>
      <w:r>
        <w:t xml:space="preserve">This Sales Report unequivocally demonstrates that our physiotherapy practice has become a sales leader within the competitive United States Chicago healthcare market. By combining deep community engagement with data-driven sales strategies, we've achieved remarkable growth while addressing critical gaps in local healthcare access. The 16.7% year-over-year revenue increase and 23.4% surge in Sports Injury Therapy specifically validate our Chicago-focused approach.</w:t>
      </w:r>
    </w:p>
    <w:p>
      <w:pPr>
        <w:pStyle w:val="BodyText"/>
      </w:pPr>
      <w:r>
        <w:t xml:space="preserve">Looking ahead, the strategic initiatives outlined will position us to capture an additional 15-20% market share in United States Chicago within the next 18 months. As healthcare evolves across America's most dynamic city, our commitment to personalized physiotherapy sales solutions – grounded in Chicago's unique demographic and geographic realities – ensures sustainable growth for both patient outcomes and business performance.</w:t>
      </w:r>
    </w:p>
    <w:p>
      <w:pPr>
        <w:pStyle w:val="BodyText"/>
      </w:pPr>
      <w:r>
        <w:t xml:space="preserve">Prepared by: Chicago Healthcare Strategy Division</w:t>
      </w:r>
      <w:r>
        <w:br/>
      </w: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 Chicago, United States</dc:title>
  <dc:creator/>
  <dc:language>en</dc:language>
  <cp:keywords/>
  <dcterms:created xsi:type="dcterms:W3CDTF">2026-07-24T00:25:31Z</dcterms:created>
  <dcterms:modified xsi:type="dcterms:W3CDTF">2026-07-24T00:25:31Z</dcterms:modified>
</cp:coreProperties>
</file>

<file path=docProps/custom.xml><?xml version="1.0" encoding="utf-8"?>
<Properties xmlns="http://schemas.openxmlformats.org/officeDocument/2006/custom-properties" xmlns:vt="http://schemas.openxmlformats.org/officeDocument/2006/docPropsVTypes"/>
</file>