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Physiotherapist</w:t>
      </w:r>
      <w:r>
        <w:t xml:space="preserve"> </w:t>
      </w:r>
      <w:r>
        <w:t xml:space="preserve">Sales</w:t>
      </w:r>
      <w:r>
        <w:t xml:space="preserve"> </w:t>
      </w:r>
      <w:r>
        <w:t xml:space="preserve">Performance</w:t>
      </w:r>
      <w:r>
        <w:t xml:space="preserve"> </w:t>
      </w:r>
      <w:r>
        <w:t xml:space="preserve">Report:</w:t>
      </w:r>
      <w:r>
        <w:t xml:space="preserve"> </w:t>
      </w:r>
      <w:r>
        <w:t xml:space="preserve">United</w:t>
      </w:r>
      <w:r>
        <w:t xml:space="preserve"> </w:t>
      </w:r>
      <w:r>
        <w:t xml:space="preserve">States</w:t>
      </w:r>
      <w:r>
        <w:t xml:space="preserve"> </w:t>
      </w:r>
      <w:r>
        <w:t xml:space="preserve">Miami</w:t>
      </w:r>
      <w:r>
        <w:t xml:space="preserve"> </w:t>
      </w:r>
      <w:r>
        <w:t xml:space="preserve">Market</w:t>
      </w:r>
    </w:p>
    <w:bookmarkStart w:id="26" w:name="X6a244a23673dcd131f53c6c056ca17229f221ff"/>
    <w:p>
      <w:pPr>
        <w:pStyle w:val="Heading1"/>
      </w:pPr>
      <w:r>
        <w:t xml:space="preserve">Sales Report: Physiotherapist Service Performance in United States Miami</w:t>
      </w:r>
    </w:p>
    <w:p>
      <w:pPr>
        <w:pStyle w:val="FirstParagraph"/>
      </w:pPr>
      <w:r>
        <w:rPr>
          <w:bCs/>
          <w:b/>
        </w:rPr>
        <w:t xml:space="preserve">Prepared For:</w:t>
      </w:r>
      <w:r>
        <w:t xml:space="preserve"> </w:t>
      </w:r>
      <w:r>
        <w:t xml:space="preserve">Executive Leadership, Miami Regional Operations</w:t>
      </w:r>
      <w:r>
        <w:br/>
      </w:r>
      <w:r>
        <w:rPr>
          <w:bCs/>
          <w:b/>
        </w:rPr>
        <w:t xml:space="preserve">Date:</w:t>
      </w:r>
      <w:r>
        <w:t xml:space="preserve"> </w:t>
      </w:r>
      <w:r>
        <w:t xml:space="preserve">October 26, 2023</w:t>
      </w:r>
      <w:r>
        <w:br/>
      </w:r>
      <w:r>
        <w:rPr>
          <w:bCs/>
          <w:b/>
        </w:rPr>
        <w:t xml:space="preserve">Report Period:</w:t>
      </w:r>
      <w:r>
        <w:t xml:space="preserve"> </w:t>
      </w:r>
      <w:r>
        <w:t xml:space="preserve">Q3 2023 (July 1 - September 30)</w:t>
      </w:r>
    </w:p>
    <w:bookmarkStart w:id="20" w:name="executive-summary"/>
    <w:p>
      <w:pPr>
        <w:pStyle w:val="Heading2"/>
      </w:pPr>
      <w:r>
        <w:t xml:space="preserve">Executive Summary</w:t>
      </w:r>
    </w:p>
    <w:p>
      <w:pPr>
        <w:pStyle w:val="FirstParagraph"/>
      </w:pPr>
      <w:r>
        <w:t xml:space="preserve">This Sales Report details the performance of physiotherapy services across our network of clinics operating within the United States Miami market. The period saw robust growth in client acquisition, revenue generation, and strategic partnership development, directly contributing to our position as a leading provider of rehabilitation services in South Florida. Key drivers included high demand for specialized physiotherapist care following tourism season surges and targeted outreach to corporate wellness programs across Miami-Dade County. This report underscores the critical role of the Physiotherapist within our service ecosystem and validates Miami's status as a high-potential market for outpatient rehabilitation services in the United States.</w:t>
      </w:r>
    </w:p>
    <w:bookmarkEnd w:id="20"/>
    <w:bookmarkStart w:id="21" w:name="key-performance-indicators-q3-2023"/>
    <w:p>
      <w:pPr>
        <w:pStyle w:val="Heading2"/>
      </w:pPr>
      <w:r>
        <w:t xml:space="preserve">Key Performance Indicators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Q3 2023 Value</w:t>
            </w:r>
          </w:p>
        </w:tc>
        <w:tc>
          <w:tcPr/>
          <w:p>
            <w:pPr>
              <w:pStyle w:val="Compact"/>
              <w:jc w:val="left"/>
            </w:pPr>
            <w:r>
              <w:t xml:space="preserve">Q2 2023 Value</w:t>
            </w:r>
          </w:p>
        </w:tc>
        <w:tc>
          <w:tcPr/>
          <w:p>
            <w:pPr>
              <w:pStyle w:val="Compact"/>
              <w:jc w:val="left"/>
            </w:pPr>
            <w:r>
              <w:t xml:space="preserve">QoQ Change</w:t>
            </w:r>
          </w:p>
        </w:tc>
      </w:tr>
      <w:tr>
        <w:tc>
          <w:tcPr/>
          <w:p>
            <w:pPr>
              <w:pStyle w:val="Compact"/>
              <w:jc w:val="left"/>
            </w:pPr>
            <w:r>
              <w:t xml:space="preserve">Total Physiotherapy Sessions Delivered (Miami)</w:t>
            </w:r>
          </w:p>
        </w:tc>
        <w:tc>
          <w:tcPr/>
          <w:p>
            <w:pPr>
              <w:pStyle w:val="Compact"/>
              <w:jc w:val="left"/>
            </w:pPr>
            <w:r>
              <w:t xml:space="preserve">18,750</w:t>
            </w:r>
          </w:p>
        </w:tc>
        <w:tc>
          <w:tcPr/>
          <w:p>
            <w:pPr>
              <w:pStyle w:val="Compact"/>
              <w:jc w:val="left"/>
            </w:pPr>
            <w:r>
              <w:t xml:space="preserve">16,240</w:t>
            </w:r>
          </w:p>
        </w:tc>
        <w:tc>
          <w:tcPr/>
          <w:p>
            <w:pPr>
              <w:pStyle w:val="Compact"/>
              <w:jc w:val="left"/>
            </w:pPr>
            <w:r>
              <w:t xml:space="preserve">+15.4%</w:t>
            </w:r>
          </w:p>
        </w:tc>
      </w:tr>
      <w:tr>
        <w:tc>
          <w:tcPr/>
          <w:p>
            <w:pPr>
              <w:pStyle w:val="Compact"/>
              <w:jc w:val="left"/>
            </w:pPr>
            <w:r>
              <w:t xml:space="preserve">Revenue from Physiotherapy Services (Miami)</w:t>
            </w:r>
          </w:p>
        </w:tc>
        <w:tc>
          <w:tcPr/>
          <w:p>
            <w:pPr>
              <w:pStyle w:val="Compact"/>
              <w:jc w:val="left"/>
            </w:pPr>
            <w:r>
              <w:t xml:space="preserve">$2,348,500</w:t>
            </w:r>
          </w:p>
        </w:tc>
        <w:tc>
          <w:tcPr/>
          <w:p>
            <w:pPr>
              <w:pStyle w:val="Compact"/>
              <w:jc w:val="left"/>
            </w:pPr>
            <w:r>
              <w:t xml:space="preserve">$2,017,800</w:t>
            </w:r>
          </w:p>
        </w:tc>
        <w:tc>
          <w:tcPr/>
          <w:p>
            <w:pPr>
              <w:pStyle w:val="Compact"/>
              <w:jc w:val="left"/>
            </w:pPr>
            <w:r>
              <w:t xml:space="preserve">+16.4%</w:t>
            </w:r>
          </w:p>
        </w:tc>
      </w:tr>
      <w:tr>
        <w:tc>
          <w:tcPr/>
          <w:p>
            <w:pPr>
              <w:pStyle w:val="Compact"/>
              <w:jc w:val="left"/>
            </w:pPr>
            <w:r>
              <w:t xml:space="preserve">New Client Acquisitions (Miami)</w:t>
            </w:r>
          </w:p>
        </w:tc>
        <w:tc>
          <w:tcPr/>
          <w:p>
            <w:pPr>
              <w:pStyle w:val="Compact"/>
              <w:jc w:val="left"/>
            </w:pPr>
            <w:r>
              <w:t xml:space="preserve">2,955</w:t>
            </w:r>
          </w:p>
        </w:tc>
        <w:tc>
          <w:tcPr/>
          <w:p>
            <w:pPr>
              <w:pStyle w:val="Compact"/>
              <w:jc w:val="left"/>
            </w:pPr>
            <w:r>
              <w:t xml:space="preserve">2,380</w:t>
            </w:r>
          </w:p>
        </w:tc>
        <w:tc>
          <w:tcPr/>
          <w:p>
            <w:pPr>
              <w:pStyle w:val="Compact"/>
              <w:jc w:val="left"/>
            </w:pPr>
            <w:r>
              <w:t xml:space="preserve">+24.1%</w:t>
            </w:r>
          </w:p>
        </w:tc>
      </w:tr>
      <w:tr>
        <w:tc>
          <w:tcPr/>
          <w:p>
            <w:pPr>
              <w:pStyle w:val="Compact"/>
              <w:jc w:val="left"/>
            </w:pPr>
            <w:r>
              <w:t xml:space="preserve">Average Revenue per Physiotherapist (Monthly)</w:t>
            </w:r>
          </w:p>
        </w:tc>
        <w:tc>
          <w:tcPr/>
          <w:p>
            <w:pPr>
              <w:pStyle w:val="Compact"/>
              <w:jc w:val="left"/>
            </w:pPr>
            <w:r>
              <w:t xml:space="preserve">$19,600</w:t>
            </w:r>
          </w:p>
        </w:tc>
        <w:tc>
          <w:tcPr/>
          <w:p>
            <w:pPr>
              <w:pStyle w:val="Compact"/>
              <w:jc w:val="left"/>
            </w:pPr>
            <w:r>
              <w:t xml:space="preserve">$17,500</w:t>
            </w:r>
          </w:p>
        </w:tc>
        <w:tc>
          <w:tcPr/>
          <w:p>
            <w:pPr>
              <w:pStyle w:val="Compact"/>
              <w:jc w:val="left"/>
            </w:pPr>
            <w:r>
              <w:t xml:space="preserve">+12.0%</w:t>
            </w:r>
          </w:p>
        </w:tc>
      </w:tr>
    </w:tbl>
    <w:bookmarkEnd w:id="21"/>
    <w:bookmarkStart w:id="22" w:name="X8230727ea93d9c393c11fdbcb148839cd68752d"/>
    <w:p>
      <w:pPr>
        <w:pStyle w:val="Heading2"/>
      </w:pPr>
      <w:r>
        <w:t xml:space="preserve">Market Analysis: Why United States Miami is a Growth Engine for Physiotherapy Services</w:t>
      </w:r>
    </w:p>
    <w:p>
      <w:pPr>
        <w:pStyle w:val="FirstParagraph"/>
      </w:pPr>
      <w:r>
        <w:t xml:space="preserve">The Miami market continues to demonstrate exceptional demand for high-quality physiotherapist services, driven by several unique factors specific to the United States and the South Florida region. As a global tourism hub attracting over 14 million visitors annually, Miami sees a consistent influx of clients requiring post-activity rehabilitation (e.g., athletes from international events hosted at Hard Rock Stadium or American Airlines Arena) and acute care following recreational injuries. Additionally, the aging population in Miami-Dade County (over 18% aged 65+) creates sustained demand for chronic pain management and geriatric physiotherapy.</w:t>
      </w:r>
      <w:r>
        <w:t xml:space="preserve"> </w:t>
      </w:r>
      <w:r>
        <w:t xml:space="preserve">Furthermore, Miami's strong corporate presence—hosting headquarters for major healthcare systems like Baptist Health South Florida and numerous Fortune 500 companies—has led to expanded corporate wellness partnerships. These agreements specifically target the hiring of dedicated Physiotherapist professionals within employee health programs, directly contributing to the 24.1% new client acquisition growth in Q3. The local emphasis on active lifestyles (surfing, running, gym culture) also fuels recurring demand for preventative and performance physiotherapy.</w:t>
      </w:r>
    </w:p>
    <w:bookmarkEnd w:id="22"/>
    <w:bookmarkStart w:id="23" w:name="Xf9e3445983fe82ae00068709ec84393f88fe58a"/>
    <w:p>
      <w:pPr>
        <w:pStyle w:val="Heading2"/>
      </w:pPr>
      <w:r>
        <w:t xml:space="preserve">Physiotherapist Service Utilization Trends</w:t>
      </w:r>
    </w:p>
    <w:p>
      <w:pPr>
        <w:pStyle w:val="FirstParagraph"/>
      </w:pPr>
      <w:r>
        <w:t xml:space="preserve">Data reveals significant shifts in how clients engage with Physiotherapist services within the United States Miami market. There was a 32% increase in telehealth sessions compared to Q2, particularly for follow-up care and chronic condition management, aligning with broader trends but accelerated by Miami's warm climate encouraging virtual visits during peak summer months. More notably, the demand for specialized physiotherapy continues to outpace general services:</w:t>
      </w:r>
    </w:p>
    <w:p>
      <w:pPr>
        <w:numPr>
          <w:ilvl w:val="0"/>
          <w:numId w:val="1001"/>
        </w:numPr>
        <w:pStyle w:val="Compact"/>
      </w:pPr>
      <w:r>
        <w:rPr>
          <w:bCs/>
          <w:b/>
        </w:rPr>
        <w:t xml:space="preserve">Sports Rehab:</w:t>
      </w:r>
      <w:r>
        <w:t xml:space="preserve"> </w:t>
      </w:r>
      <w:r>
        <w:t xml:space="preserve">Accounted for 38% of all sessions (up 12% YoY), driven by Miami Heat season preparations and collegiate sports programs.</w:t>
      </w:r>
    </w:p>
    <w:p>
      <w:pPr>
        <w:numPr>
          <w:ilvl w:val="0"/>
          <w:numId w:val="1001"/>
        </w:numPr>
        <w:pStyle w:val="Compact"/>
      </w:pPr>
      <w:r>
        <w:rPr>
          <w:bCs/>
          <w:b/>
        </w:rPr>
        <w:t xml:space="preserve">Post-Surgical Rehabilitation:</w:t>
      </w:r>
      <w:r>
        <w:t xml:space="preserve"> </w:t>
      </w:r>
      <w:r>
        <w:t xml:space="preserve">Growth of 28% due to increased joint replacement procedures at local hospitals.</w:t>
      </w:r>
    </w:p>
    <w:p>
      <w:pPr>
        <w:numPr>
          <w:ilvl w:val="0"/>
          <w:numId w:val="1001"/>
        </w:numPr>
        <w:pStyle w:val="Compact"/>
      </w:pPr>
      <w:r>
        <w:rPr>
          <w:bCs/>
          <w:b/>
        </w:rPr>
        <w:t xml:space="preserve">Pain Management:</w:t>
      </w:r>
      <w:r>
        <w:t xml:space="preserve"> </w:t>
      </w:r>
      <w:r>
        <w:t xml:space="preserve">Highest growth segment (41%), reflecting rising awareness of non-opioid alternatives for chronic pain in the United States healthcare landscape.</w:t>
      </w:r>
    </w:p>
    <w:p>
      <w:pPr>
        <w:pStyle w:val="FirstParagraph"/>
      </w:pPr>
      <w:r>
        <w:t xml:space="preserve">The performance of our Physiotherapist team is directly reflected in these trends; clinics with higher ratios of specialized physiotherapy staff saw 22% greater client retention rates compared to clinics with generalist models.</w:t>
      </w:r>
    </w:p>
    <w:bookmarkEnd w:id="23"/>
    <w:bookmarkStart w:id="24" w:name="challenges-and-strategic-initiatives"/>
    <w:p>
      <w:pPr>
        <w:pStyle w:val="Heading2"/>
      </w:pPr>
      <w:r>
        <w:t xml:space="preserve">Challenges and Strategic Initiatives</w:t>
      </w:r>
    </w:p>
    <w:p>
      <w:pPr>
        <w:pStyle w:val="FirstParagraph"/>
      </w:pPr>
      <w:r>
        <w:t xml:space="preserve">Despite strong growth, Miami-specific challenges require focused attention. The most significant hurdle remains navigating complex insurance reimbursement cycles in the United States, particularly for non-emergency physiotherapy services. While commercial insurance coverage has improved, Medicare Advantage plans in South Florida exhibit variable approval rates for extended therapy sessions.</w:t>
      </w:r>
      <w:r>
        <w:t xml:space="preserve"> </w:t>
      </w:r>
      <w:r>
        <w:t xml:space="preserve">To address this, our Miami operations team launched a dedicated "Physiotherapist Support Specialist" role within each clinic. These specialists streamline prior authorizations and provide real-time billing guidance to our Physiotherapist staff, reducing claim denials by 18% in Q3. Additionally, we are expanding partnerships with local tourist hotspots (e.g., South Beach hotels) for on-site rehabilitation packages—a direct response to Miami's unique tourism-driven healthcare needs.</w:t>
      </w:r>
    </w:p>
    <w:bookmarkEnd w:id="24"/>
    <w:bookmarkStart w:id="25" w:name="conclusion-and-forward-outlook"/>
    <w:p>
      <w:pPr>
        <w:pStyle w:val="Heading2"/>
      </w:pPr>
      <w:r>
        <w:t xml:space="preserve">Conclusion and Forward Outlook</w:t>
      </w:r>
    </w:p>
    <w:p>
      <w:pPr>
        <w:pStyle w:val="FirstParagraph"/>
      </w:pPr>
      <w:r>
        <w:t xml:space="preserve">The United States Miami market remains a critical growth pillar for our physiotherapy business. This Sales Report confirms that strategic investment in specialized Physiotherapist talent and localized service models directly correlates with market leadership in the region. Q3 results demonstrate a 16.4% revenue increase driven by high-demand services, underscoring the economic viability of prioritizing Miami expansion.</w:t>
      </w:r>
      <w:r>
        <w:t xml:space="preserve"> </w:t>
      </w:r>
      <w:r>
        <w:t xml:space="preserve">Looking ahead to Q4, we project continued momentum as holiday travel peaks and corporate wellness contracts renew. Our primary focus will be scaling specialized service lines (e.g., pediatric sports rehab for youth leagues across Miami-Dade) and enhancing digital client engagement tools to support our Physiotherapist teams in delivering seamless care. The data is clear: in the United States, particularly within dynamic markets like Miami, the value proposition of skilled, accessible physiotherapy services continues to drive significant and sustainable sales growth.</w:t>
      </w:r>
    </w:p>
    <w:p>
      <w:pPr>
        <w:pStyle w:val="BodyText"/>
      </w:pPr>
      <w:r>
        <w:rPr>
          <w:bCs/>
          <w:b/>
        </w:rPr>
        <w:t xml:space="preserve">Prepared By:</w:t>
      </w:r>
      <w:r>
        <w:t xml:space="preserve"> </w:t>
      </w:r>
      <w:r>
        <w:t xml:space="preserve">Regional Sales Strategy Team</w:t>
      </w:r>
      <w:r>
        <w:br/>
      </w:r>
      <w:r>
        <w:rPr>
          <w:bCs/>
          <w:b/>
        </w:rPr>
        <w:t xml:space="preserve">Contact:</w:t>
      </w:r>
      <w:r>
        <w:t xml:space="preserve"> </w:t>
      </w:r>
      <w:r>
        <w:t xml:space="preserve">sales.miami@physiohealth.us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Physiotherapist Sales Performance Report: United States Miami Market</dc:title>
  <dc:creator/>
  <cp:keywords/>
  <dcterms:created xsi:type="dcterms:W3CDTF">2026-07-24T14:46:20Z</dcterms:created>
  <dcterms:modified xsi:type="dcterms:W3CDTF">2026-07-24T14:46:20Z</dcterms:modified>
</cp:coreProperties>
</file>

<file path=docProps/custom.xml><?xml version="1.0" encoding="utf-8"?>
<Properties xmlns="http://schemas.openxmlformats.org/officeDocument/2006/custom-properties" xmlns:vt="http://schemas.openxmlformats.org/officeDocument/2006/docPropsVTypes"/>
</file>