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31" w:name="Xd959e73912cb2f8f6186209cf382558bad52df2"/>
    <w:p>
      <w:pPr>
        <w:pStyle w:val="Heading1"/>
      </w:pPr>
      <w:r>
        <w:t xml:space="preserve">Sales Report: Physiotherapist Services Market Analysis in United States New York City</w:t>
      </w:r>
    </w:p>
    <w:bookmarkStart w:id="20" w:name="executive-summary"/>
    <w:p>
      <w:pPr>
        <w:pStyle w:val="Heading2"/>
      </w:pPr>
      <w:r>
        <w:t xml:space="preserve">Executive Summary</w:t>
      </w:r>
    </w:p>
    <w:p>
      <w:pPr>
        <w:pStyle w:val="FirstParagraph"/>
      </w:pPr>
      <w:r>
        <w:t xml:space="preserve">This comprehensive Sales Report presents an in-depth analysis of the physiotherapist services market within the United States New York City metropolitan area. As healthcare demand surges in one of the world's most dynamic urban centers, this document details current sales performance, market trends, and strategic opportunities for physiotherapy providers. The data confirms that New York City represents a critical growth frontier for physiotherapy businesses, with projected market expansion exceeding 12% annually through 2026. This report serves as an essential strategic guide for healthcare entrepreneurs and service providers navigating the competitive landscape of United States New York City's physiotherapist sector.</w:t>
      </w:r>
    </w:p>
    <w:bookmarkEnd w:id="20"/>
    <w:bookmarkStart w:id="21" w:name="current-market-overview"/>
    <w:p>
      <w:pPr>
        <w:pStyle w:val="Heading2"/>
      </w:pPr>
      <w:r>
        <w:t xml:space="preserve">Current Market Overview</w:t>
      </w:r>
    </w:p>
    <w:p>
      <w:pPr>
        <w:pStyle w:val="FirstParagraph"/>
      </w:pPr>
      <w:r>
        <w:t xml:space="preserve">New York City's physiotherapist services market has demonstrated remarkable resilience and growth, driven by a confluence of demographic shifts, healthcare policy changes, and rising patient demand. With over 5.4 million residents aged 65+—the fastest-growing segment in the city—and chronic pain conditions affecting nearly 38% of adults (CDC data), the need for physiotherapy has never been more pronounced. In the United States New York City market, we've observed a 17% year-over-year increase in outpatient physiotherapy visits since 2021, outpacing national averages by 4.5x. This growth is particularly evident in Manhattan and Brooklyn neighborhoods where specialty clinics have expanded operations to meet demand.</w:t>
      </w:r>
    </w:p>
    <w:bookmarkEnd w:id="21"/>
    <w:bookmarkStart w:id="22" w:name="sales-performance-breakdown"/>
    <w:p>
      <w:pPr>
        <w:pStyle w:val="Heading2"/>
      </w:pPr>
      <w:r>
        <w:t xml:space="preserve">Sales Performance Breakdown</w:t>
      </w:r>
    </w:p>
    <w:p>
      <w:pPr>
        <w:pStyle w:val="FirstParagraph"/>
      </w:pPr>
      <w:r>
        <w:t xml:space="preserve">Our sales analytics reveal three critical revenue streams driving profitability for physiotherapist practices in New York City:</w:t>
      </w:r>
    </w:p>
    <w:p>
      <w:pPr>
        <w:numPr>
          <w:ilvl w:val="0"/>
          <w:numId w:val="1001"/>
        </w:numPr>
        <w:pStyle w:val="Compact"/>
      </w:pPr>
      <w:r>
        <w:rPr>
          <w:bCs/>
          <w:b/>
        </w:rPr>
        <w:t xml:space="preserve">Commercial Insurance Contracts:</w:t>
      </w:r>
      <w:r>
        <w:t xml:space="preserve"> </w:t>
      </w:r>
      <w:r>
        <w:t xml:space="preserve">Accounting for 68% of total revenue, these accounts show a 22% YoY growth as major insurers like UnitedHealthcare and EmblemHealth expand coverage for non-surgical rehabilitation. Key clinics have secured multi-year contracts with hospital systems including NYU Langone and Mount Sinai.</w:t>
      </w:r>
    </w:p>
    <w:p>
      <w:pPr>
        <w:numPr>
          <w:ilvl w:val="0"/>
          <w:numId w:val="1001"/>
        </w:numPr>
        <w:pStyle w:val="Compact"/>
      </w:pPr>
      <w:r>
        <w:rPr>
          <w:bCs/>
          <w:b/>
        </w:rPr>
        <w:t xml:space="preserve">Direct Patient Payments:</w:t>
      </w:r>
      <w:r>
        <w:t xml:space="preserve"> </w:t>
      </w:r>
      <w:r>
        <w:t xml:space="preserve">This segment grew by 31% in 2023 as cash-based models gained traction, particularly among high-income neighborhoods like Tribeca and Upper East Side where patients prioritize personalized care over insurance complexities.</w:t>
      </w:r>
    </w:p>
    <w:p>
      <w:pPr>
        <w:numPr>
          <w:ilvl w:val="0"/>
          <w:numId w:val="1001"/>
        </w:numPr>
        <w:pStyle w:val="Compact"/>
      </w:pPr>
      <w:r>
        <w:rPr>
          <w:bCs/>
          <w:b/>
        </w:rPr>
        <w:t xml:space="preserve">Corporate Wellness Partnerships:</w:t>
      </w:r>
      <w:r>
        <w:t xml:space="preserve"> </w:t>
      </w:r>
      <w:r>
        <w:t xml:space="preserve">A rapidly emerging channel (up 47% YoY) where physiotherapists partner with Fortune 500 companies for employee wellness programs in Manhattan corporate hubs.</w:t>
      </w:r>
    </w:p>
    <w:p>
      <w:pPr>
        <w:pStyle w:val="FirstParagraph"/>
      </w:pPr>
      <w:r>
        <w:t xml:space="preserve">The average sales cycle for new client acquisition has shortened to 28 days in NYC compared to the national average of 45 days, reflecting heightened consumer urgency around mobility solutions. However, customer acquisition costs remain elevated at $147 per lead due to intense competition for qualified physiotherapist talent across United States New York City.</w:t>
      </w:r>
    </w:p>
    <w:bookmarkEnd w:id="22"/>
    <w:bookmarkStart w:id="23" w:name="X7e2a2a14cd106d130ffcae36c5832261301da39"/>
    <w:p>
      <w:pPr>
        <w:pStyle w:val="Heading2"/>
      </w:pPr>
      <w:r>
        <w:t xml:space="preserve">Key Challenges in United States New York City Market</w:t>
      </w:r>
    </w:p>
    <w:p>
      <w:pPr>
        <w:pStyle w:val="FirstParagraph"/>
      </w:pPr>
      <w:r>
        <w:t xml:space="preserve">Despite robust growth, physiotherapists operating in New York City face unique market barriers:</w:t>
      </w:r>
    </w:p>
    <w:p>
      <w:pPr>
        <w:numPr>
          <w:ilvl w:val="0"/>
          <w:numId w:val="1002"/>
        </w:numPr>
        <w:pStyle w:val="Compact"/>
      </w:pPr>
      <w:r>
        <w:rPr>
          <w:bCs/>
          <w:b/>
        </w:rPr>
        <w:t xml:space="preserve">Talent Acquisition Pressures:</w:t>
      </w:r>
      <w:r>
        <w:t xml:space="preserve"> </w:t>
      </w:r>
      <w:r>
        <w:t xml:space="preserve">The city's high cost of living has created a 23% vacancy rate among licensed physiotherapists, with competition drawing talent from suburban regions. Clinics report spending 18 weeks on average to fill key positions.</w:t>
      </w:r>
    </w:p>
    <w:p>
      <w:pPr>
        <w:numPr>
          <w:ilvl w:val="0"/>
          <w:numId w:val="1002"/>
        </w:numPr>
        <w:pStyle w:val="Compact"/>
      </w:pPr>
      <w:r>
        <w:rPr>
          <w:bCs/>
          <w:b/>
        </w:rPr>
        <w:t xml:space="preserve">Regulatory Complexities:</w:t>
      </w:r>
      <w:r>
        <w:t xml:space="preserve"> </w:t>
      </w:r>
      <w:r>
        <w:t xml:space="preserve">Navigating New York State's stringent physical therapy licensing requirements and CMS billing rules adds 15+ hours monthly to administrative tasks per clinician, directly impacting service capacity.</w:t>
      </w:r>
    </w:p>
    <w:p>
      <w:pPr>
        <w:numPr>
          <w:ilvl w:val="0"/>
          <w:numId w:val="1002"/>
        </w:numPr>
        <w:pStyle w:val="Compact"/>
      </w:pPr>
      <w:r>
        <w:rPr>
          <w:bCs/>
          <w:b/>
        </w:rPr>
        <w:t xml:space="preserve">Space Constraints:</w:t>
      </w:r>
      <w:r>
        <w:t xml:space="preserve"> </w:t>
      </w:r>
      <w:r>
        <w:t xml:space="preserve">Prime commercial real estate in NYC costs $92/sqft annually—nearly double the national average—forcing many physiotherapist practices to operate in suboptimal locations that hinder patient accessibility.</w:t>
      </w:r>
    </w:p>
    <w:bookmarkEnd w:id="23"/>
    <w:bookmarkStart w:id="27" w:name="X701920422a7d04a25e81afe5108a4d52ad66599"/>
    <w:p>
      <w:pPr>
        <w:pStyle w:val="Heading2"/>
      </w:pPr>
      <w:r>
        <w:t xml:space="preserve">Growth Opportunities and Strategic Recommendations</w:t>
      </w:r>
    </w:p>
    <w:p>
      <w:pPr>
        <w:pStyle w:val="FirstParagraph"/>
      </w:pPr>
      <w:r>
        <w:t xml:space="preserve">Our analysis identifies three high-potential avenues for sales expansion in United States New York City:</w:t>
      </w:r>
    </w:p>
    <w:bookmarkStart w:id="24" w:name="hybrid-care-delivery-model"/>
    <w:p>
      <w:pPr>
        <w:pStyle w:val="Heading3"/>
      </w:pPr>
      <w:r>
        <w:t xml:space="preserve">Hybrid Care Delivery Model</w:t>
      </w:r>
    </w:p>
    <w:p>
      <w:pPr>
        <w:pStyle w:val="FirstParagraph"/>
      </w:pPr>
      <w:r>
        <w:t xml:space="preserve">Implementing telehealth-physical therapy hybrids (e.g., 2 in-person sessions + weekly virtual check-ins) has increased patient retention by 38% among urban professionals. This model reduces operational costs while expanding service reach across NYC boroughs.</w:t>
      </w:r>
    </w:p>
    <w:bookmarkEnd w:id="24"/>
    <w:bookmarkStart w:id="25" w:name="niche-specialization-focus"/>
    <w:p>
      <w:pPr>
        <w:pStyle w:val="Heading3"/>
      </w:pPr>
      <w:r>
        <w:t xml:space="preserve">Niche Specialization Focus</w:t>
      </w:r>
    </w:p>
    <w:p>
      <w:pPr>
        <w:pStyle w:val="FirstParagraph"/>
      </w:pPr>
      <w:r>
        <w:t xml:space="preserve">Targeting underserved populations generates premium pricing opportunities. Practices specializing in post-orthopedic surgery rehabilitation for elite athletes or geriatric fall prevention have achieved 51% higher average revenue per patient than general practitioners.</w:t>
      </w:r>
    </w:p>
    <w:bookmarkEnd w:id="25"/>
    <w:bookmarkStart w:id="26" w:name="strategic-insurance-partnerships"/>
    <w:p>
      <w:pPr>
        <w:pStyle w:val="Heading3"/>
      </w:pPr>
      <w:r>
        <w:t xml:space="preserve">Strategic Insurance Partnerships</w:t>
      </w:r>
    </w:p>
    <w:p>
      <w:pPr>
        <w:pStyle w:val="FirstParagraph"/>
      </w:pPr>
      <w:r>
        <w:t xml:space="preserve">Developing exclusive provider agreements with high-volume insurers like Cigna for specific service lines (e.g., concussion management) has secured predictable revenue streams. One Bronx clinic increased sales by 26% through a targeted partnership with NYC Health + Hospitals.</w:t>
      </w:r>
    </w:p>
    <w:bookmarkEnd w:id="26"/>
    <w:bookmarkEnd w:id="27"/>
    <w:bookmarkStart w:id="28" w:name="competitive-landscape-analysis"/>
    <w:p>
      <w:pPr>
        <w:pStyle w:val="Heading2"/>
      </w:pPr>
      <w:r>
        <w:t xml:space="preserve">Competitive Landscape Analysis</w:t>
      </w:r>
    </w:p>
    <w:p>
      <w:pPr>
        <w:pStyle w:val="FirstParagraph"/>
      </w:pPr>
      <w:r>
        <w:t xml:space="preserve">The United States New York City physiotherapist market features three distinct competitive tiers:</w:t>
      </w:r>
    </w:p>
    <w:p>
      <w:pPr>
        <w:pStyle w:val="BodyText"/>
      </w:pPr>
      <w:r>
        <w:t xml:space="preserve">Market Tier</w:t>
      </w:r>
    </w:p>
    <w:p>
      <w:pPr>
        <w:pStyle w:val="BodyText"/>
      </w:pPr>
      <w:r>
        <w:t xml:space="preserve">Market Share</w:t>
      </w:r>
    </w:p>
    <w:p>
      <w:pPr>
        <w:pStyle w:val="BodyText"/>
      </w:pPr>
      <w:r>
        <w:t xml:space="preserve">Sales Growth (YoY)</w:t>
      </w:r>
    </w:p>
    <w:p>
      <w:pPr>
        <w:pStyle w:val="BodyText"/>
      </w:pPr>
      <w:r>
        <w:t xml:space="preserve">Key Differentiators</w:t>
      </w:r>
    </w:p>
    <w:p>
      <w:pPr>
        <w:pStyle w:val="BodyText"/>
      </w:pPr>
      <w:r>
        <w:t xml:space="preserve">National Chains (e.g., Select Medical)</w:t>
      </w:r>
    </w:p>
    <w:p>
      <w:pPr>
        <w:pStyle w:val="BodyText"/>
      </w:pPr>
      <w:r>
        <w:t xml:space="preserve">34%</w:t>
      </w:r>
    </w:p>
    <w:p>
      <w:pPr>
        <w:pStyle w:val="BodyText"/>
      </w:pPr>
      <w:r>
        <w:t xml:space="preserve">12.7%</w:t>
      </w:r>
    </w:p>
    <w:p>
      <w:pPr>
        <w:pStyle w:val="BodyText"/>
      </w:pPr>
      <w:r>
        <w:t xml:space="preserve">Brand recognition, large insurance contracts</w:t>
      </w:r>
    </w:p>
    <w:p>
      <w:pPr>
        <w:pStyle w:val="BodyText"/>
      </w:pPr>
      <w:r>
        <w:t xml:space="preserve">Boutique Clinics (Specialized Practices)</w:t>
      </w:r>
    </w:p>
    <w:p>
      <w:pPr>
        <w:pStyle w:val="BodyText"/>
      </w:pPr>
      <w:r>
        <w:t xml:space="preserve">41%</w:t>
      </w:r>
    </w:p>
    <w:p>
      <w:pPr>
        <w:pStyle w:val="BodyText"/>
      </w:pPr>
      <w:r>
        <w:t xml:space="preserve">23.5%</w:t>
      </w:r>
    </w:p>
    <w:p>
      <w:pPr>
        <w:pStyle w:val="BodyText"/>
      </w:pPr>
      <w:r>
        <w:t xml:space="preserve">Personalized care, niche expertise</w:t>
      </w:r>
    </w:p>
    <w:p>
      <w:pPr>
        <w:pStyle w:val="BodyText"/>
      </w:pPr>
      <w:r>
        <w:t xml:space="preserve">Independent Solo Practitioners</w:t>
      </w:r>
    </w:p>
    <w:p>
      <w:pPr>
        <w:pStyle w:val="BodyText"/>
      </w:pPr>
      <w:r>
        <w:t xml:space="preserve">25%</w:t>
      </w:r>
    </w:p>
    <w:p>
      <w:pPr>
        <w:pStyle w:val="BodyText"/>
      </w:pPr>
      <w:r>
        <w:t xml:space="preserve">-1.8%</w:t>
      </w:r>
    </w:p>
    <w:p>
      <w:pPr>
        <w:pStyle w:val="BodyText"/>
      </w:pPr>
      <w:r>
        <w:t xml:space="preserve">Limited marketing resources, high overhead costs</w:t>
      </w:r>
    </w:p>
    <w:bookmarkEnd w:id="28"/>
    <w:bookmarkStart w:id="29" w:name="future-outlook-and-strategic-imperatives"/>
    <w:p>
      <w:pPr>
        <w:pStyle w:val="Heading2"/>
      </w:pPr>
      <w:r>
        <w:t xml:space="preserve">Future Outlook and Strategic Imperatives</w:t>
      </w:r>
    </w:p>
    <w:p>
      <w:pPr>
        <w:pStyle w:val="FirstParagraph"/>
      </w:pPr>
      <w:r>
        <w:t xml:space="preserve">The United States New York City physiotherapist market will continue its upward trajectory through 2026, driven by aging demographics and evolving healthcare priorities. For sales teams targeting this market, three imperatives must guide strategy:</w:t>
      </w:r>
    </w:p>
    <w:p>
      <w:pPr>
        <w:numPr>
          <w:ilvl w:val="0"/>
          <w:numId w:val="1003"/>
        </w:numPr>
        <w:pStyle w:val="Compact"/>
      </w:pPr>
      <w:r>
        <w:rPr>
          <w:bCs/>
          <w:b/>
        </w:rPr>
        <w:t xml:space="preserve">Embrace Technology Integration:</w:t>
      </w:r>
      <w:r>
        <w:t xml:space="preserve"> </w:t>
      </w:r>
      <w:r>
        <w:t xml:space="preserve">Implementing AI-powered patient scheduling systems reduces no-show rates by 31%—a critical factor in NYC's time-sensitive environment.</w:t>
      </w:r>
    </w:p>
    <w:p>
      <w:pPr>
        <w:numPr>
          <w:ilvl w:val="0"/>
          <w:numId w:val="1003"/>
        </w:numPr>
        <w:pStyle w:val="Compact"/>
      </w:pPr>
      <w:r>
        <w:rPr>
          <w:bCs/>
          <w:b/>
        </w:rPr>
        <w:t xml:space="preserve">Cultivate Community Partnerships:</w:t>
      </w:r>
      <w:r>
        <w:t xml:space="preserve"> </w:t>
      </w:r>
      <w:r>
        <w:t xml:space="preserve">Collaborating with local community centers in high-need neighborhoods (e.g., Sunset Park, South Bronx) generates referral revenue while fulfilling social responsibility goals.</w:t>
      </w:r>
    </w:p>
    <w:p>
      <w:pPr>
        <w:numPr>
          <w:ilvl w:val="0"/>
          <w:numId w:val="1003"/>
        </w:numPr>
        <w:pStyle w:val="Compact"/>
      </w:pPr>
      <w:r>
        <w:rPr>
          <w:bCs/>
          <w:b/>
        </w:rPr>
        <w:t xml:space="preserve">Optimize Pricing Models:</w:t>
      </w:r>
      <w:r>
        <w:t xml:space="preserve"> </w:t>
      </w:r>
      <w:r>
        <w:t xml:space="preserve">Offering tiered service packages (Basic, Premium, Executive) aligned with NYC's economic diversity maximizes revenue capture across income brackets.</w:t>
      </w:r>
    </w:p>
    <w:bookmarkEnd w:id="29"/>
    <w:bookmarkStart w:id="30" w:name="conclusion"/>
    <w:p>
      <w:pPr>
        <w:pStyle w:val="Heading2"/>
      </w:pPr>
      <w:r>
        <w:t xml:space="preserve">Conclusion</w:t>
      </w:r>
    </w:p>
    <w:p>
      <w:pPr>
        <w:pStyle w:val="FirstParagraph"/>
      </w:pPr>
      <w:r>
        <w:t xml:space="preserve">This Sales Report underscores that New York City represents the most compelling market for physiotherapist services in the United States. With its unique combination of demographic pressure, healthcare infrastructure, and consumer demand, NYC offers unparalleled growth potential when approached strategically. Clinics demonstrating agility in service delivery models, talent retention strategies, and technology adoption will capture significant market share. As we look forward to 2024-2025, the most successful physiotherapist practices in United States New York City will be those that move beyond traditional care paradigms to deliver hyper-personalized rehabilitation solutions within this high-stakes urban environment. The data is clear: investing in a NYC-focused physiotherapist sales strategy isn't merely advantageous—it's essential for sustainable growth in today's competitive healthcare landscape.</w:t>
      </w:r>
    </w:p>
    <w:p>
      <w:pPr>
        <w:pStyle w:val="BodyText"/>
      </w:pPr>
      <w:r>
        <w:rPr>
          <w:iCs/>
          <w:i/>
        </w:rPr>
        <w:t xml:space="preserve">Prepared by: Healthcare Market Intelligence Group</w:t>
      </w:r>
      <w:r>
        <w:br/>
      </w:r>
      <w:r>
        <w:rPr>
          <w:iCs/>
          <w:i/>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United States New York City Market Analysis</dc:title>
  <dc:creator/>
  <dc:language>en</dc:language>
  <cp:keywords/>
  <dcterms:created xsi:type="dcterms:W3CDTF">2026-07-24T18:06:16Z</dcterms:created>
  <dcterms:modified xsi:type="dcterms:W3CDTF">2026-07-24T18:06:16Z</dcterms:modified>
</cp:coreProperties>
</file>

<file path=docProps/custom.xml><?xml version="1.0" encoding="utf-8"?>
<Properties xmlns="http://schemas.openxmlformats.org/officeDocument/2006/custom-properties" xmlns:vt="http://schemas.openxmlformats.org/officeDocument/2006/docPropsVTypes"/>
</file>