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p>
    <w:bookmarkStart w:id="32" w:name="X8e9dc3197a8d1bd368ce6d414e8765d4033a531"/>
    <w:p>
      <w:pPr>
        <w:pStyle w:val="Heading1"/>
      </w:pPr>
      <w:r>
        <w:t xml:space="preserve">SALES REPORT: POLITICAL CAMPAIGN PERFORMANCE ANALYSIS - ARGENTINA BUENOS AIRES</w:t>
      </w:r>
    </w:p>
    <w:bookmarkStart w:id="20" w:name="executive-summary"/>
    <w:p>
      <w:pPr>
        <w:pStyle w:val="Heading2"/>
      </w:pPr>
      <w:r>
        <w:t xml:space="preserve">Executive Summary</w:t>
      </w:r>
    </w:p>
    <w:p>
      <w:pPr>
        <w:pStyle w:val="FirstParagraph"/>
      </w:pPr>
      <w:r>
        <w:t xml:space="preserve">This comprehensive sales report details the electoral campaign performance metrics for Candidate Juan Martínez, a prominent political figure representing the "New Future Alliance" party during the 2023 Buenos Aires City Council elections. The report quantifies voter acquisition, financial contributions, and community engagement across all districts of Argentina's capital city. As of October 15th, 2023, Martínez has secured a remarkable 47.8% vote share in Buenos Aires Metropolitan Area (B.A.M.A.), exceeding initial projections by 12.3 percentage points. This document serves as the official performance benchmark for the campaign team and provides strategic insights for future electoral endeavors in Argentina's most influential political battleground.</w:t>
      </w:r>
    </w:p>
    <w:bookmarkEnd w:id="20"/>
    <w:bookmarkStart w:id="21" w:name="campaign-sales-performance-overview"/>
    <w:p>
      <w:pPr>
        <w:pStyle w:val="Heading2"/>
      </w:pPr>
      <w:r>
        <w:t xml:space="preserve">Campaign Sales Performance Overview</w:t>
      </w:r>
    </w:p>
    <w:p>
      <w:pPr>
        <w:pStyle w:val="FirstParagraph"/>
      </w:pPr>
      <w:r>
        <w:t xml:space="preserve">Our sales strategy focused on converting voter interest into tangible support through a multi-channel engagement model. Unlike traditional product sales, this "campaign sales" operation measured success through:</w:t>
      </w:r>
    </w:p>
    <w:p>
      <w:pPr>
        <w:numPr>
          <w:ilvl w:val="0"/>
          <w:numId w:val="1001"/>
        </w:numPr>
        <w:pStyle w:val="Compact"/>
      </w:pPr>
      <w:r>
        <w:t xml:space="preserve">Voter acquisition rates per precinct</w:t>
      </w:r>
    </w:p>
    <w:p>
      <w:pPr>
        <w:numPr>
          <w:ilvl w:val="0"/>
          <w:numId w:val="1001"/>
        </w:numPr>
        <w:pStyle w:val="Compact"/>
      </w:pPr>
      <w:r>
        <w:t xml:space="preserve">Donation conversion metrics (micro-donations vs. major contributions)</w:t>
      </w:r>
    </w:p>
    <w:p>
      <w:pPr>
        <w:numPr>
          <w:ilvl w:val="0"/>
          <w:numId w:val="1001"/>
        </w:numPr>
        <w:pStyle w:val="Compact"/>
      </w:pPr>
      <w:r>
        <w:t xml:space="preserve">Volunteer sign-up velocity and retention</w:t>
      </w:r>
    </w:p>
    <w:p>
      <w:pPr>
        <w:numPr>
          <w:ilvl w:val="0"/>
          <w:numId w:val="1001"/>
        </w:numPr>
        <w:pStyle w:val="Compact"/>
      </w:pPr>
      <w:r>
        <w:t xml:space="preserve">Social media engagement-to-pledge conversion ratios</w:t>
      </w:r>
    </w:p>
    <w:p>
      <w:pPr>
        <w:pStyle w:val="FirstParagraph"/>
      </w:pPr>
      <w:r>
        <w:t xml:space="preserve">The campaign deployed 327 digital sales representatives across 15 districts of Argentina Buenos Aires, utilizing localized WhatsApp campaigns and community kiosks in high-traffic areas. This hyper-local approach generated unprecedented sales velocity, with a 34% month-over-month increase in verified supporter registrations during the final campaign sprint.</w:t>
      </w:r>
    </w:p>
    <w:bookmarkEnd w:id="21"/>
    <w:bookmarkStart w:id="22" w:name="key-performance-indicators-kpis"/>
    <w:p>
      <w:pPr>
        <w:pStyle w:val="Heading2"/>
      </w:pPr>
      <w:r>
        <w:t xml:space="preserve">Key Performance Indicators (KPIs)</w:t>
      </w:r>
    </w:p>
    <w:p>
      <w:pPr>
        <w:pStyle w:val="FirstParagraph"/>
      </w:pPr>
      <w:r>
        <w:t xml:space="preserve">KPI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Volunteer Acquisition Rate (per precinct)</w:t>
      </w:r>
    </w:p>
    <w:p>
      <w:pPr>
        <w:pStyle w:val="BodyText"/>
      </w:pPr>
      <w:r>
        <w:t xml:space="preserve">450/week</w:t>
      </w:r>
    </w:p>
    <w:p>
      <w:pPr>
        <w:pStyle w:val="BodyText"/>
      </w:pPr>
      <w:r>
        <w:t xml:space="preserve">623/week</w:t>
      </w:r>
    </w:p>
    <w:p>
      <w:pPr>
        <w:pStyle w:val="BodyText"/>
      </w:pPr>
      <w:r>
        <w:t xml:space="preserve">+38.4%</w:t>
      </w:r>
    </w:p>
    <w:p>
      <w:pPr>
        <w:pStyle w:val="BodyText"/>
      </w:pPr>
      <w:r>
        <w:t xml:space="preserve">Digital Donation Conversion Rate</w:t>
      </w:r>
    </w:p>
    <w:p>
      <w:pPr>
        <w:pStyle w:val="BodyText"/>
      </w:pPr>
      <w:r>
        <w:t xml:space="preserve">1.8%</w:t>
      </w:r>
    </w:p>
    <w:p>
      <w:pPr>
        <w:pStyle w:val="BodyText"/>
      </w:pPr>
      <w:r>
        <w:t xml:space="preserve">Actual: 3.9% (+116.7%)</w:t>
      </w:r>
    </w:p>
    <w:p>
      <w:pPr>
        <w:pStyle w:val="BodyText"/>
      </w:pPr>
      <w:r>
        <w:t xml:space="preserve">Voter Pledge Sign-ups (Buenos Aires)</w:t>
      </w:r>
    </w:p>
    <w:p>
      <w:pPr>
        <w:pStyle w:val="BodyText"/>
      </w:pPr>
      <w:r>
        <w:t xml:space="preserve">42,000</w:t>
      </w:r>
    </w:p>
    <w:p>
      <w:pPr>
        <w:pStyle w:val="BodyText"/>
      </w:pPr>
      <w:r>
        <w:t xml:space="preserve">58,672</w:t>
      </w:r>
    </w:p>
    <w:p>
      <w:pPr>
        <w:pStyle w:val="BodyText"/>
      </w:pPr>
      <w:r>
        <w:t xml:space="preserve">+39.7%</w:t>
      </w:r>
    </w:p>
    <w:p>
      <w:pPr>
        <w:pStyle w:val="BodyText"/>
      </w:pPr>
      <w:r>
        <w:t xml:space="preserve">Social Media Engagement-to-Action Rate</w:t>
      </w:r>
    </w:p>
    <w:p>
      <w:pPr>
        <w:pStyle w:val="BodyText"/>
      </w:pPr>
      <w:r>
        <w:t xml:space="preserve">1.2:1</w:t>
      </w:r>
    </w:p>
    <w:p>
      <w:pPr>
        <w:pStyle w:val="BodyText"/>
      </w:pPr>
      <w:r>
        <w:t xml:space="preserve">Actual: 3.4:1 (+183%)</w:t>
      </w:r>
    </w:p>
    <w:bookmarkEnd w:id="22"/>
    <w:bookmarkStart w:id="27" w:name="Xb5931cc54412702a500c6c2294316dab6b2a70f"/>
    <w:p>
      <w:pPr>
        <w:pStyle w:val="Heading2"/>
      </w:pPr>
      <w:r>
        <w:t xml:space="preserve">Regional Sales Analysis: Buenos Aires Districts Breakdown</w:t>
      </w:r>
    </w:p>
    <w:p>
      <w:pPr>
        <w:pStyle w:val="FirstParagraph"/>
      </w:pPr>
      <w:r>
        <w:t xml:space="preserve">The campaign's success was not uniform across Argentina Buenos Aires—district-level data reveals critical sales patterns:</w:t>
      </w:r>
    </w:p>
    <w:bookmarkStart w:id="23" w:name="northern-districts-caballito-colegiales"/>
    <w:p>
      <w:pPr>
        <w:pStyle w:val="Heading3"/>
      </w:pPr>
      <w:r>
        <w:t xml:space="preserve">Northern Districts (Caballito, Colegiales)</w:t>
      </w:r>
    </w:p>
    <w:p>
      <w:pPr>
        <w:pStyle w:val="FirstParagraph"/>
      </w:pPr>
      <w:r>
        <w:t xml:space="preserve">Top-performing sales zone with 58.7% pledge conversion. Strategy: Hyper-local "coffee chat" events in neighborhood cafes generated 240+ daily voter engagements. This district contributed 18% of all campaign donations despite representing only 9% of city population.</w:t>
      </w:r>
    </w:p>
    <w:bookmarkEnd w:id="23"/>
    <w:bookmarkStart w:id="24" w:name="central-buenos-aires-san-telmo-palermo"/>
    <w:p>
      <w:pPr>
        <w:pStyle w:val="Heading3"/>
      </w:pPr>
      <w:r>
        <w:t xml:space="preserve">Central Buenos Aires (San Telmo, Palermo)</w:t>
      </w:r>
    </w:p>
    <w:p>
      <w:pPr>
        <w:pStyle w:val="FirstParagraph"/>
      </w:pPr>
      <w:r>
        <w:t xml:space="preserve">Strong social media sales channel with 67% digital donation rate. The "Buenos Aires Future" Instagram filter drove a 220% spike in youth voter sign-ups. However, physical volunteer acquisition lagged by 15% due to dense urban challenges.</w:t>
      </w:r>
    </w:p>
    <w:bookmarkEnd w:id="24"/>
    <w:bookmarkStart w:id="25" w:name="X7b52a0c4bb35b90389a98b75eef446db67cb6f8"/>
    <w:p>
      <w:pPr>
        <w:pStyle w:val="Heading3"/>
      </w:pPr>
      <w:r>
        <w:t xml:space="preserve">Southern Districts (Villa Crespo, La Paternal)</w:t>
      </w:r>
    </w:p>
    <w:p>
      <w:pPr>
        <w:pStyle w:val="FirstParagraph"/>
      </w:pPr>
      <w:r>
        <w:t xml:space="preserve">Most challenging sales market with 31.2% pledge conversion rate. Counter-strategy: Deployed community health workers as "sales agents" for neighborhood clinics, converting medical visits into voter registrations (42% success rate).</w:t>
      </w:r>
    </w:p>
    <w:bookmarkEnd w:id="25"/>
    <w:bookmarkStart w:id="26" w:name="peripheral-zones-barracas-la-boca"/>
    <w:p>
      <w:pPr>
        <w:pStyle w:val="Heading3"/>
      </w:pPr>
      <w:r>
        <w:t xml:space="preserve">Peripheral Zones (Barracas, La Boca)</w:t>
      </w:r>
    </w:p>
    <w:p>
      <w:pPr>
        <w:pStyle w:val="FirstParagraph"/>
      </w:pPr>
      <w:r>
        <w:t xml:space="preserve">High-volume sales through municipal partnership program. The "Paseo de la Juventud" community initiative generated 15% more volunteers per square kilometer than city average by offering free youth skill workshops during campaign events.</w:t>
      </w:r>
    </w:p>
    <w:bookmarkEnd w:id="26"/>
    <w:bookmarkEnd w:id="27"/>
    <w:bookmarkStart w:id="28" w:name="political-sales-strategy-innovations"/>
    <w:p>
      <w:pPr>
        <w:pStyle w:val="Heading2"/>
      </w:pPr>
      <w:r>
        <w:t xml:space="preserve">Political Sales Strategy Innovations</w:t>
      </w:r>
    </w:p>
    <w:p>
      <w:pPr>
        <w:pStyle w:val="FirstParagraph"/>
      </w:pPr>
      <w:r>
        <w:t xml:space="preserve">This campaign redefined political sales tactics for Argentina Buenos Aires:</w:t>
      </w:r>
    </w:p>
    <w:p>
      <w:pPr>
        <w:numPr>
          <w:ilvl w:val="0"/>
          <w:numId w:val="1002"/>
        </w:numPr>
        <w:pStyle w:val="Compact"/>
      </w:pPr>
      <w:r>
        <w:rPr>
          <w:bCs/>
          <w:b/>
        </w:rPr>
        <w:t xml:space="preserve">Neighborhood-Based "Sales Territories"</w:t>
      </w:r>
      <w:r>
        <w:t xml:space="preserve">: Each precinct assigned a dedicated community representative who conducted 1:1 voter consultations (not mass rallies), increasing personal connection by 63%.</w:t>
      </w:r>
    </w:p>
    <w:p>
      <w:pPr>
        <w:numPr>
          <w:ilvl w:val="0"/>
          <w:numId w:val="1002"/>
        </w:numPr>
        <w:pStyle w:val="Compact"/>
      </w:pPr>
      <w:r>
        <w:rPr>
          <w:bCs/>
          <w:b/>
        </w:rPr>
        <w:t xml:space="preserve">Donation Tier System</w:t>
      </w:r>
      <w:r>
        <w:t xml:space="preserve">: Created micro-donation "sales" tiers: $5 for campaign T-shirts (28% of total sales), $25 for digital policy guide (34%), and $100+ for VIP town hall access (19%). This segmented the market effectively.</w:t>
      </w:r>
    </w:p>
    <w:p>
      <w:pPr>
        <w:numPr>
          <w:ilvl w:val="0"/>
          <w:numId w:val="1002"/>
        </w:numPr>
        <w:pStyle w:val="Compact"/>
      </w:pPr>
      <w:r>
        <w:rPr>
          <w:bCs/>
          <w:b/>
        </w:rPr>
        <w:t xml:space="preserve">Real-Time Sales Dashboard</w:t>
      </w:r>
      <w:r>
        <w:t xml:space="preserve">: A live public map showed "voter acquisition heatmaps" across Buenos Aires, turning sales data into community engagement tools. This generated 47% more social shares than traditional campaign materials.</w:t>
      </w:r>
    </w:p>
    <w:bookmarkEnd w:id="28"/>
    <w:bookmarkStart w:id="29" w:name="challenges-and-strategic-adjustments"/>
    <w:p>
      <w:pPr>
        <w:pStyle w:val="Heading2"/>
      </w:pPr>
      <w:r>
        <w:t xml:space="preserve">Challenges and Strategic Adjustments</w:t>
      </w:r>
    </w:p>
    <w:p>
      <w:pPr>
        <w:pStyle w:val="FirstParagraph"/>
      </w:pPr>
      <w:r>
        <w:t xml:space="preserve">The political landscape of Argentina Buenos Aires presented unique hurdles:</w:t>
      </w:r>
    </w:p>
    <w:p>
      <w:pPr>
        <w:numPr>
          <w:ilvl w:val="0"/>
          <w:numId w:val="1003"/>
        </w:numPr>
        <w:pStyle w:val="Compact"/>
      </w:pPr>
      <w:r>
        <w:rPr>
          <w:bCs/>
          <w:b/>
        </w:rPr>
        <w:t xml:space="preserve">Competitor "Sales" Overlap</w:t>
      </w:r>
      <w:r>
        <w:t xml:space="preserve">: Rival campaigns saturated key districts with free giveaways. Countermeasure: Implemented "value-added sales" (e.g., campaign T-shirt + 30-minute policy consultation) that increased conversion by 27%.</w:t>
      </w:r>
    </w:p>
    <w:p>
      <w:pPr>
        <w:numPr>
          <w:ilvl w:val="0"/>
          <w:numId w:val="1003"/>
        </w:numPr>
        <w:pStyle w:val="Compact"/>
      </w:pPr>
      <w:r>
        <w:rPr>
          <w:bCs/>
          <w:b/>
        </w:rPr>
        <w:t xml:space="preserve">Financial Transparency Demand</w:t>
      </w:r>
      <w:r>
        <w:t xml:space="preserve">: Argentine voters demanded visibility into donation usage. Solution: Launched real-time "fund tracker" app showing how each $5 contribution was deployed (e.g., "$3.20 for community kitchen projects"), boosting trust metrics by 41%.</w:t>
      </w:r>
    </w:p>
    <w:p>
      <w:pPr>
        <w:numPr>
          <w:ilvl w:val="0"/>
          <w:numId w:val="1003"/>
        </w:numPr>
        <w:pStyle w:val="Compact"/>
      </w:pPr>
      <w:r>
        <w:rPr>
          <w:bCs/>
          <w:b/>
        </w:rPr>
        <w:t xml:space="preserve">Digital Divide in Marginalized Areas</w:t>
      </w:r>
      <w:r>
        <w:t xml:space="preserve">: Low-income neighborhoods had lower digital engagement. Response: Partnered with public libraries for "sales training" sessions, turning librarians into volunteer campaign representatives (38% of sales in Villa Lugano originated from this initiative).</w:t>
      </w:r>
    </w:p>
    <w:bookmarkEnd w:id="29"/>
    <w:bookmarkStart w:id="31" w:name="conclusion-and-future-sales-strategy"/>
    <w:p>
      <w:pPr>
        <w:pStyle w:val="Heading2"/>
      </w:pPr>
      <w:r>
        <w:t xml:space="preserve">Conclusion and Future Sales Strategy</w:t>
      </w:r>
    </w:p>
    <w:p>
      <w:pPr>
        <w:pStyle w:val="FirstParagraph"/>
      </w:pPr>
      <w:r>
        <w:t xml:space="preserve">The 2023 Buenos Aires campaign achieved unprecedented sales velocity for a political candidate in Argentina's electoral history. This report confirms that the "politician as product" model, when executed with Argentine cultural intelligence (e.g., prioritizing face-to-face engagement over digital-only approaches), delivers exceptional results. The data shows a clear correlation between localized sales tactics and voter acquisition rates—particularly in Buenos Aires where neighborhood identity remains paramount.</w:t>
      </w:r>
    </w:p>
    <w:p>
      <w:pPr>
        <w:pStyle w:val="BodyText"/>
      </w:pPr>
      <w:r>
        <w:t xml:space="preserve">For the 2025 national election cycle, we recommend:</w:t>
      </w:r>
    </w:p>
    <w:p>
      <w:pPr>
        <w:numPr>
          <w:ilvl w:val="0"/>
          <w:numId w:val="1004"/>
        </w:numPr>
        <w:pStyle w:val="Compact"/>
      </w:pPr>
      <w:r>
        <w:t xml:space="preserve">Expanding the "community representative" sales network to 500+ certified agents across all Argentina provinces</w:t>
      </w:r>
    </w:p>
    <w:p>
      <w:pPr>
        <w:numPr>
          <w:ilvl w:val="0"/>
          <w:numId w:val="1004"/>
        </w:numPr>
        <w:pStyle w:val="Compact"/>
      </w:pPr>
      <w:r>
        <w:t xml:space="preserve">Developing a standardized political campaign sales training program for Argentine politicians</w:t>
      </w:r>
    </w:p>
    <w:p>
      <w:pPr>
        <w:numPr>
          <w:ilvl w:val="0"/>
          <w:numId w:val="1004"/>
        </w:numPr>
        <w:pStyle w:val="Compact"/>
      </w:pPr>
      <w:r>
        <w:t xml:space="preserve">Creating an integrated sales analytics platform that tracks voter conversion from first touchpoint to election day</w:t>
      </w:r>
    </w:p>
    <w:p>
      <w:pPr>
        <w:pStyle w:val="FirstParagraph"/>
      </w:pPr>
      <w:r>
        <w:t xml:space="preserve">This report establishes the definitive benchmark for political sales performance in Argentina Buenos Aires. The campaign's success proves that with proper strategy, a politician can achieve remarkable "sales" results by treating constituent relationships as valuable customer assets. As Candidate Martínez declared at his victory rally: "We didn't just win votes—we built a community of active citizens committed to Buenos Aires' future."</w:t>
      </w:r>
    </w:p>
    <w:bookmarkStart w:id="30" w:name="prepared-by"/>
    <w:p>
      <w:pPr>
        <w:pStyle w:val="Heading3"/>
      </w:pPr>
      <w:r>
        <w:t xml:space="preserve">Prepared By:</w:t>
      </w:r>
    </w:p>
    <w:p>
      <w:pPr>
        <w:pStyle w:val="FirstParagraph"/>
      </w:pPr>
      <w:r>
        <w:t xml:space="preserve">Political Sales Intelligence Unit (PSIU)</w:t>
      </w:r>
    </w:p>
    <w:p>
      <w:pPr>
        <w:pStyle w:val="BodyText"/>
      </w:pPr>
      <w:r>
        <w:t xml:space="preserve">For New Future Alliance Campaign Committee</w:t>
      </w:r>
    </w:p>
    <w:p>
      <w:pPr>
        <w:pStyle w:val="BodyText"/>
      </w:pPr>
      <w:r>
        <w:t xml:space="preserve">Buenos Aires, Argentina • October 15, 2023</w:t>
      </w:r>
    </w:p>
    <w:p>
      <w:r>
        <w:pict>
          <v:rect style="width:0;height:1.5pt" o:hralign="center" o:hrstd="t" o:hr="t"/>
        </w:pict>
      </w:r>
    </w:p>
    <w:p>
      <w:pPr>
        <w:pStyle w:val="FirstParagraph"/>
      </w:pPr>
      <w:r>
        <w:rPr>
          <w:iCs/>
          <w:i/>
        </w:rPr>
        <w:t xml:space="preserve">This report complies with Argentine Transparency Act 27.409 and campaign finance disclosure standards. All sales metrics verified through municipal election authorities (Cámara Nacional Electoral) and independent audit firm PwC Argentina.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 Buenos Aires</dc:title>
  <dc:creator/>
  <dc:language>en</dc:language>
  <cp:keywords/>
  <dcterms:created xsi:type="dcterms:W3CDTF">2026-07-24T04:00:57Z</dcterms:created>
  <dcterms:modified xsi:type="dcterms:W3CDTF">2026-07-24T04:00:57Z</dcterms:modified>
</cp:coreProperties>
</file>

<file path=docProps/custom.xml><?xml version="1.0" encoding="utf-8"?>
<Properties xmlns="http://schemas.openxmlformats.org/officeDocument/2006/custom-properties" xmlns:vt="http://schemas.openxmlformats.org/officeDocument/2006/docPropsVTypes"/>
</file>