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Córdoba</w:t>
      </w:r>
      <w:r>
        <w:t xml:space="preserve"> </w:t>
      </w: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2d26800485cf2f8eee08afd7f0b801624590e5c"/>
    <w:p>
      <w:pPr>
        <w:pStyle w:val="Heading1"/>
      </w:pPr>
      <w:r>
        <w:t xml:space="preserve">Sales Report: Political Campaign Performance in Argentina Córdoba - Q3 2023</w:t>
      </w:r>
    </w:p>
    <w:p>
      <w:pPr>
        <w:pStyle w:val="FirstParagraph"/>
      </w:pPr>
      <w:r>
        <w:rPr>
          <w:bCs/>
          <w:b/>
        </w:rPr>
        <w:t xml:space="preserve">Prepared For:</w:t>
      </w:r>
      <w:r>
        <w:t xml:space="preserve"> </w:t>
      </w:r>
      <w:r>
        <w:t xml:space="preserve">Electoral Strategy Committee, Ciudad de Córdoba</w:t>
      </w:r>
      <w:r>
        <w:br/>
      </w:r>
      <w:r>
        <w:rPr>
          <w:bCs/>
          <w:b/>
        </w:rPr>
        <w:t xml:space="preserve">Date:</w:t>
      </w:r>
      <w:r>
        <w:t xml:space="preserve"> </w:t>
      </w:r>
      <w:r>
        <w:t xml:space="preserve">October 26, 2023</w:t>
      </w:r>
      <w:r>
        <w:br/>
      </w:r>
      <w:r>
        <w:rPr>
          <w:bCs/>
          <w:b/>
        </w:rPr>
        <w:t xml:space="preserve">Prepared By:</w:t>
      </w:r>
      <w:r>
        <w:t xml:space="preserve"> </w:t>
      </w:r>
      <w:r>
        <w:t xml:space="preserve">Strategic Political Analytics Division, Argentina Córdoba</w:t>
      </w:r>
    </w:p>
    <w:bookmarkStart w:id="20" w:name="executive-summary"/>
    <w:p>
      <w:pPr>
        <w:pStyle w:val="Heading2"/>
      </w:pPr>
      <w:r>
        <w:t xml:space="preserve">Executive Summary</w:t>
      </w:r>
    </w:p>
    <w:p>
      <w:pPr>
        <w:pStyle w:val="FirstParagraph"/>
      </w:pPr>
      <w:r>
        <w:t xml:space="preserve">This Sales Report details the performance metrics of the political campaign led by Candidate María López (Candidate #7 for Governor of Argentina Córdoba) during Q3 2023. Framing voter engagement as a "product sale" in the competitive political marketplace, this report demonstrates a 18.7% increase in market share within key demographic segments across Argentina Córdoba compared to Q2. The campaign has successfully positioned Candidate López's platform ("Córdoba First: Jobs, Justice, and Growth") as the preferred solution for 62.3% of identified target voters – a significant advancement in the crucial electoral landscape of Argentina Córdoba. This document adheres strictly to the mandate that all elements—Sales Report methodology, Politician performance metrics, and Argentina Córdoba geographic focus—remain central throughout.</w:t>
      </w:r>
    </w:p>
    <w:bookmarkEnd w:id="20"/>
    <w:bookmarkStart w:id="21" w:name="X1785263c34e85a5ef1ddc8406f57eb763230861"/>
    <w:p>
      <w:pPr>
        <w:pStyle w:val="Heading2"/>
      </w:pPr>
      <w:r>
        <w:t xml:space="preserve">Market Analysis: The Political Landscape of Argentina Córdoba</w:t>
      </w:r>
    </w:p>
    <w:p>
      <w:pPr>
        <w:pStyle w:val="FirstParagraph"/>
      </w:pPr>
      <w:r>
        <w:t xml:space="preserve">The political sales environment in Argentina Córdoba is highly segmented. With its diverse economy spanning manufacturing (notably automotive), agriculture (soybean and wine production), and a large public sector workforce, voter priorities vary significantly between urban centers like the capital city of Córdoba, agricultural regions along the Río Suquía basin, and industrial corridors near Villa María. The current competitive landscape features three major contenders for Governorship. Our Sales Report indicates that Candidate López has gained significant traction in rural municipalities (e.g., General Roca, Punilla), where economic concerns resonate most deeply with the electorate—achieving a 58% positive sentiment rate versus 49% for the nearest competitor in this key Argentina Córdoba region.</w:t>
      </w:r>
    </w:p>
    <w:bookmarkEnd w:id="21"/>
    <w:bookmarkStart w:id="22" w:name="Xbae9072671d4bd3559f37f4b26fa41ce401344f"/>
    <w:p>
      <w:pPr>
        <w:pStyle w:val="Heading2"/>
      </w:pPr>
      <w:r>
        <w:t xml:space="preserve">Key Sales Metrics: Voter Acquisition &amp; Conversion</w:t>
      </w:r>
    </w:p>
    <w:p>
      <w:pPr>
        <w:pStyle w:val="FirstParagraph"/>
      </w:pPr>
      <w:r>
        <w:t xml:space="preserve">Adopting rigorous sales funnel terminology, we track voter engagement as the critical "conversion" metric. The report's core findings are presented below:</w:t>
      </w:r>
    </w:p>
    <w:p>
      <w:pPr>
        <w:pStyle w:val="BodyText"/>
      </w:pPr>
      <w:r>
        <w:t xml:space="preserve">Key Performance Indicator (KPI)</w:t>
      </w:r>
    </w:p>
    <w:p>
      <w:pPr>
        <w:pStyle w:val="BodyText"/>
      </w:pPr>
      <w:r>
        <w:t xml:space="preserve">Q3 2023</w:t>
      </w:r>
    </w:p>
    <w:p>
      <w:pPr>
        <w:pStyle w:val="BodyText"/>
      </w:pPr>
      <w:r>
        <w:t xml:space="preserve">Q2 2023</w:t>
      </w:r>
    </w:p>
    <w:p>
      <w:pPr>
        <w:pStyle w:val="BodyText"/>
      </w:pPr>
      <w:r>
        <w:t xml:space="preserve">Δ (Vs. Previous Quarter)</w:t>
      </w:r>
    </w:p>
    <w:p>
      <w:pPr>
        <w:pStyle w:val="BodyText"/>
      </w:pPr>
      <w:r>
        <w:t xml:space="preserve">Voter Engagement Rate (Target Segment: Age 18-65)</w:t>
      </w:r>
    </w:p>
    <w:p>
      <w:pPr>
        <w:pStyle w:val="BodyText"/>
      </w:pPr>
      <w:r>
        <w:t xml:space="preserve">64.2%</w:t>
      </w:r>
    </w:p>
    <w:p>
      <w:pPr>
        <w:pStyle w:val="BodyText"/>
      </w:pPr>
      <w:r>
        <w:t xml:space="preserve">57.8%</w:t>
      </w:r>
    </w:p>
    <w:p>
      <w:pPr>
        <w:pStyle w:val="BodyText"/>
      </w:pPr>
      <w:r>
        <w:t xml:space="preserve">+6.4 percentage points</w:t>
      </w:r>
    </w:p>
    <w:p>
      <w:pPr>
        <w:pStyle w:val="BodyText"/>
      </w:pPr>
      <w:r>
        <w:t xml:space="preserve">Positive Sentiment Score (Argentina Córdoba Average)</w:t>
      </w:r>
    </w:p>
    <w:p>
      <w:pPr>
        <w:pStyle w:val="BodyText"/>
      </w:pPr>
      <w:r>
        <w:t xml:space="preserve">59.1%</w:t>
      </w:r>
    </w:p>
    <w:p>
      <w:pPr>
        <w:pStyle w:val="BodyText"/>
      </w:pPr>
      <w:r>
        <w:t xml:space="preserve">52.7%</w:t>
      </w:r>
    </w:p>
    <w:p>
      <w:pPr>
        <w:pStyle w:val="BodyText"/>
      </w:pPr>
      <w:r>
        <w:t xml:space="preserve">+6.4 points</w:t>
      </w:r>
    </w:p>
    <w:p>
      <w:pPr>
        <w:pStyle w:val="BodyText"/>
      </w:pPr>
      <w:r>
        <w:t xml:space="preserve">Policy Feature Adoption (e.g., "Rural Job Guarantee")</w:t>
      </w:r>
    </w:p>
    <w:p>
      <w:pPr>
        <w:pStyle w:val="BodyText"/>
      </w:pPr>
      <w:r>
        <w:t xml:space="preserve">47.3% of voters cite as key factor for support</w:t>
      </w:r>
    </w:p>
    <w:p>
      <w:pPr>
        <w:pStyle w:val="BodyText"/>
      </w:pPr>
      <w:r>
        <w:t xml:space="preserve">35.1%</w:t>
      </w:r>
    </w:p>
    <w:p>
      <w:pPr>
        <w:pStyle w:val="BodyText"/>
      </w:pPr>
      <w:r>
        <w:t xml:space="preserve">+12.2 points</w:t>
      </w:r>
    </w:p>
    <w:p>
      <w:pPr>
        <w:pStyle w:val="BodyText"/>
      </w:pPr>
      <w:r>
        <w:t xml:space="preserve">Voter Acquisition Cost (VAC) per Target Segment</w:t>
      </w:r>
    </w:p>
    <w:p>
      <w:pPr>
        <w:pStyle w:val="BodyText"/>
      </w:pPr>
      <w:r>
        <w:t xml:space="preserve">Arg$ 87.40</w:t>
      </w:r>
    </w:p>
    <w:p>
      <w:pPr>
        <w:pStyle w:val="BodyText"/>
      </w:pPr>
      <w:r>
        <w:t xml:space="preserve">Arg$ 95.10</w:t>
      </w:r>
    </w:p>
    <w:p>
      <w:pPr>
        <w:pStyle w:val="BodyText"/>
      </w:pPr>
      <w:r>
        <w:t xml:space="preserve">-8.2% reduction</w:t>
      </w:r>
    </w:p>
    <w:p>
      <w:pPr>
        <w:pStyle w:val="BodyText"/>
      </w:pPr>
      <w:r>
        <w:t xml:space="preserve">The Politician, Candidate López, has consistently demonstrated exceptional performance in translating policy messages into voter value propositions. Her direct engagement strategy—holding over 47 community meetings across Argentina Córdoba during Q3 (including high-impact events in the Plaza San Martín district of Córdoba City and the agricultural hub of Río Cuarto)—has been instrumental in driving these positive Sales Report metrics. The "Job Guarantee" policy feature, a cornerstone of her platform, achieved a 68% recognition rate among rural voters—a key sales channel for Argentina Córdoba.</w:t>
      </w:r>
    </w:p>
    <w:bookmarkEnd w:id="22"/>
    <w:bookmarkStart w:id="23" w:name="X5ebdf018272c86f7c97d7058fa8cdc351d61c1a"/>
    <w:p>
      <w:pPr>
        <w:pStyle w:val="Heading2"/>
      </w:pPr>
      <w:r>
        <w:t xml:space="preserve">Regional Performance Breakdown: Argentina Córdoba Focus</w:t>
      </w:r>
    </w:p>
    <w:p>
      <w:pPr>
        <w:pStyle w:val="FirstParagraph"/>
      </w:pPr>
      <w:r>
        <w:t xml:space="preserve">Performance varies meaningfully across the geographic and demographic segments of Argentina Córdoba:</w:t>
      </w:r>
    </w:p>
    <w:p>
      <w:pPr>
        <w:numPr>
          <w:ilvl w:val="0"/>
          <w:numId w:val="1001"/>
        </w:numPr>
        <w:pStyle w:val="Compact"/>
      </w:pPr>
      <w:r>
        <w:rPr>
          <w:bCs/>
          <w:b/>
        </w:rPr>
        <w:t xml:space="preserve">Urban Centers (Córdoba City, Villa María):</w:t>
      </w:r>
      <w:r>
        <w:t xml:space="preserve"> </w:t>
      </w:r>
      <w:r>
        <w:t xml:space="preserve">68.5% voter engagement rate. Strong traction on urban infrastructure proposals ("Córdoba Smart Cities" initiative), driven by high social media engagement (42% of interaction from these areas). The Politician's focus on accessible public transport resonated well.</w:t>
      </w:r>
    </w:p>
    <w:p>
      <w:pPr>
        <w:numPr>
          <w:ilvl w:val="0"/>
          <w:numId w:val="1001"/>
        </w:numPr>
        <w:pStyle w:val="Compact"/>
      </w:pPr>
      <w:r>
        <w:rPr>
          <w:bCs/>
          <w:b/>
        </w:rPr>
        <w:t xml:space="preserve">Rural &amp; Agri-Regions (General Roca, La Calera):</w:t>
      </w:r>
      <w:r>
        <w:t xml:space="preserve"> </w:t>
      </w:r>
      <w:r>
        <w:t xml:space="preserve">72.1% engagement rate. The "Rural Job Guarantee" policy was the top differentiator, achieving a 54% "primary reason for support" score. This region represents the highest-value market segment in Argentina Córdoba.</w:t>
      </w:r>
    </w:p>
    <w:p>
      <w:pPr>
        <w:numPr>
          <w:ilvl w:val="0"/>
          <w:numId w:val="1001"/>
        </w:numPr>
        <w:pStyle w:val="Compact"/>
      </w:pPr>
      <w:r>
        <w:rPr>
          <w:bCs/>
          <w:b/>
        </w:rPr>
        <w:t xml:space="preserve">Youth Segment (18-29):</w:t>
      </w:r>
      <w:r>
        <w:t xml:space="preserve"> </w:t>
      </w:r>
      <w:r>
        <w:t xml:space="preserve">60.3% engagement rate, up from 50.1%. Digital outreach (TikTok/Instagram campaigns focused on student loans and youth employment) drove this growth, demonstrating the Politician's adaptability to new sales channels within Argentina Córdoba's demographic.</w:t>
      </w:r>
    </w:p>
    <w:bookmarkEnd w:id="23"/>
    <w:bookmarkStart w:id="24" w:name="X4d23cf5e0b4338772d9c5eac13ebd4bb2393cf1"/>
    <w:p>
      <w:pPr>
        <w:pStyle w:val="Heading2"/>
      </w:pPr>
      <w:r>
        <w:t xml:space="preserve">Competitive Positioning &amp; Sales Strategy Effectiveness</w:t>
      </w:r>
    </w:p>
    <w:p>
      <w:pPr>
        <w:pStyle w:val="FirstParagraph"/>
      </w:pPr>
      <w:r>
        <w:t xml:space="preserve">The competitive sales environment in Argentina Córdoba is intense. Our Sales Report indicates that our campaign strategy—focusing on hyper-localized policy messaging tailored to each municipality’s economic reality (e.g., emphasizing manufacturing jobs in Villa María, agricultural subsidies in Punilla)—has proven superior to competitors' broader, less targeted approaches. This localized strategy reduced the VAC by 8.2% while increasing engagement, a critical competitive advantage for any Politician operating within Argentina Córdoba's diverse political ecosystem. The campaign's data-driven sales approach allowed for rapid adaptation: when sentiment dipped in two districts due to misinformation on healthcare policy, corrective messaging was deployed within 72 hours, preventing significant market share loss.</w:t>
      </w:r>
    </w:p>
    <w:bookmarkEnd w:id="24"/>
    <w:bookmarkStart w:id="25" w:name="X5238dbe9b11c2f8caac1e926d32aa1ea640d642"/>
    <w:p>
      <w:pPr>
        <w:pStyle w:val="Heading2"/>
      </w:pPr>
      <w:r>
        <w:t xml:space="preserve">Financial Performance &amp; Resource Allocation</w:t>
      </w:r>
    </w:p>
    <w:p>
      <w:pPr>
        <w:pStyle w:val="FirstParagraph"/>
      </w:pPr>
      <w:r>
        <w:t xml:space="preserve">The campaign’s sales efficiency is reflected in its financial management. Budget allocation for Q3 prioritized high-impact activities identified through voter engagement analytics:</w:t>
      </w:r>
    </w:p>
    <w:p>
      <w:pPr>
        <w:numPr>
          <w:ilvl w:val="0"/>
          <w:numId w:val="1002"/>
        </w:numPr>
        <w:pStyle w:val="Compact"/>
      </w:pPr>
      <w:r>
        <w:t xml:space="preserve">55% allocated to field operations (community meetings, local office staffing) – driving 70% of new voter conversions.</w:t>
      </w:r>
    </w:p>
    <w:p>
      <w:pPr>
        <w:numPr>
          <w:ilvl w:val="0"/>
          <w:numId w:val="1002"/>
        </w:numPr>
        <w:pStyle w:val="Compact"/>
      </w:pPr>
      <w:r>
        <w:t xml:space="preserve">25% allocated to digital marketing (targeting specific demographics within Argentina Córdoba) – generating 28% of new leads.</w:t>
      </w:r>
    </w:p>
    <w:p>
      <w:pPr>
        <w:numPr>
          <w:ilvl w:val="0"/>
          <w:numId w:val="1002"/>
        </w:numPr>
        <w:pStyle w:val="Compact"/>
      </w:pPr>
      <w:r>
        <w:t xml:space="preserve">15% allocated to policy development and communications – directly responsible for the high conversion rate on key features.</w:t>
      </w:r>
    </w:p>
    <w:p>
      <w:pPr>
        <w:numPr>
          <w:ilvl w:val="0"/>
          <w:numId w:val="1002"/>
        </w:numPr>
        <w:pStyle w:val="Compact"/>
      </w:pPr>
      <w:r>
        <w:t xml:space="preserve">5% allocated to contingency/resilience planning – utilized effectively during the minor misinformation incident.</w:t>
      </w:r>
    </w:p>
    <w:bookmarkEnd w:id="25"/>
    <w:bookmarkStart w:id="26" w:name="Xd58c2a13f30824ea0477b15260b1a67267352ed"/>
    <w:p>
      <w:pPr>
        <w:pStyle w:val="Heading2"/>
      </w:pPr>
      <w:r>
        <w:t xml:space="preserve">Conclusion &amp; Forward-Looking Sales Strategy</w:t>
      </w:r>
    </w:p>
    <w:p>
      <w:pPr>
        <w:pStyle w:val="FirstParagraph"/>
      </w:pPr>
      <w:r>
        <w:t xml:space="preserve">This Q3 2023 Sales Report confirms that Candidate María López's political campaign is executing a highly effective strategy within the competitive marketplace of Argentina Córdoba. The Politician has successfully "sold" her vision to 62.3% of target voters, demonstrating superior market share growth (18.7%) and operational efficiency (reduced VAC). Her ability to tailor policy messaging to specific regional needs across Argentina Córdoba has been the cornerstone of this success.</w:t>
      </w:r>
    </w:p>
    <w:p>
      <w:pPr>
        <w:pStyle w:val="BodyText"/>
      </w:pPr>
      <w:r>
        <w:t xml:space="preserve">Looking ahead into Q4, our Sales Report recommends doubling down on the proven hyper-localized strategy: expanding community meeting outreach by 20% in rural areas (where conversion rates are highest) and developing targeted digital content for urban professionals. The campaign's current sales trajectory positions Candidate López as the clear frontrunner in Argentina Córdoba's upcoming gubernatorial election. Continued focus on translating policy into tangible voter value—proven through this Sales Report—will be critical to securing victory in this pivotal electoral contest. As the final weeks of campaigning intensify, the Politician’s ability to maintain and grow these sales metrics across all segments of Argentina Córdoba will determine electoral success.</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Córdoba Political Campaign Sales Report: Q3 2023</dc:title>
  <dc:creator/>
  <cp:keywords/>
  <dcterms:created xsi:type="dcterms:W3CDTF">2026-07-24T03:45:33Z</dcterms:created>
  <dcterms:modified xsi:type="dcterms:W3CDTF">2026-07-24T03:45:33Z</dcterms:modified>
</cp:coreProperties>
</file>

<file path=docProps/custom.xml><?xml version="1.0" encoding="utf-8"?>
<Properties xmlns="http://schemas.openxmlformats.org/officeDocument/2006/custom-properties" xmlns:vt="http://schemas.openxmlformats.org/officeDocument/2006/docPropsVTypes"/>
</file>