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Performance</w:t>
      </w:r>
      <w:r>
        <w:t xml:space="preserve"> </w:t>
      </w:r>
      <w:r>
        <w:t xml:space="preserve">Report:</w:t>
      </w:r>
      <w:r>
        <w:t xml:space="preserve"> </w:t>
      </w:r>
      <w:r>
        <w:t xml:space="preserve">Melbourne</w:t>
      </w:r>
      <w:r>
        <w:t xml:space="preserve"> </w:t>
      </w:r>
      <w:r>
        <w:t xml:space="preserve">Focus</w:t>
      </w:r>
    </w:p>
    <w:bookmarkStart w:id="30" w:name="Xdce440236fff2f7277c9280dce6e61451935206"/>
    <w:p>
      <w:pPr>
        <w:pStyle w:val="Heading1"/>
      </w:pPr>
      <w:r>
        <w:t xml:space="preserve">Sales Report: Political Engagement &amp; Voter Acquisition Strategy Analysis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Australian Federal Election Campaign Strategy Team</w:t>
      </w:r>
      <w:r>
        <w:br/>
      </w:r>
      <w:r>
        <w:rPr>
          <w:bCs/>
          <w:b/>
        </w:rPr>
        <w:t xml:space="preserve">Report Period:</w:t>
      </w:r>
      <w:r>
        <w:t xml:space="preserve"> </w:t>
      </w:r>
      <w:r>
        <w:t xml:space="preserve">January 1, 2023 – September 30, 2023</w:t>
      </w:r>
      <w:r>
        <w:br/>
      </w:r>
      <w:r>
        <w:rPr>
          <w:bCs/>
          <w:b/>
        </w:rPr>
        <w:t xml:space="preserve">Subject:</w:t>
      </w:r>
      <w:r>
        <w:t xml:space="preserve"> </w:t>
      </w:r>
      <w:r>
        <w:t xml:space="preserve">Political Engagement Metrics and Voter Acquisition Performance of Candidate [Politician Name] in Melbourne Metropolitan Area</w:t>
      </w:r>
    </w:p>
    <w:bookmarkStart w:id="20" w:name="i.-executive-summary"/>
    <w:p>
      <w:pPr>
        <w:pStyle w:val="Heading2"/>
      </w:pPr>
      <w:r>
        <w:t xml:space="preserve">I. Executive Summary</w:t>
      </w:r>
    </w:p>
    <w:p>
      <w:pPr>
        <w:pStyle w:val="FirstParagraph"/>
      </w:pPr>
      <w:r>
        <w:t xml:space="preserve">This Sales Report presents a comprehensive analysis of the voter engagement and acquisition strategy deployed by the [Politician Name] campaign across Melbourne, Australia. Unlike traditional product sales, this report measures "sales" through democratic conversion metrics: voter sentiment shifts, policy support alignment, community engagement depth, and electoral turnout influence. The analysis confirms that strategic political positioning in Melbourne's diverse electorate has driven significant measurable progress toward the [Politician Name]'s electoral objectives within the Australian political landscape. Key findings indicate a 28% increase in targeted voter acquisition rates compared to prior campaigns, directly attributable to hyper-localized engagement tactics executed throughout Melbourne.</w:t>
      </w:r>
    </w:p>
    <w:bookmarkEnd w:id="20"/>
    <w:bookmarkStart w:id="21" w:name="X91fa1a7acfc0bc43bfaa43ec415e930c7c13aac"/>
    <w:p>
      <w:pPr>
        <w:pStyle w:val="Heading2"/>
      </w:pPr>
      <w:r>
        <w:t xml:space="preserve">II. Methodology: Defining Political "Sales" in Melbourne Context</w:t>
      </w:r>
    </w:p>
    <w:p>
      <w:pPr>
        <w:pStyle w:val="FirstParagraph"/>
      </w:pPr>
      <w:r>
        <w:t xml:space="preserve">This report operationalizes "sales" as the successful conversion of constituent awareness into active political support within the specific socio-economic and cultural fabric of Australia's most populous city, Melbourne. Metrics were derived from:</w:t>
      </w:r>
    </w:p>
    <w:p>
      <w:pPr>
        <w:numPr>
          <w:ilvl w:val="0"/>
          <w:numId w:val="1001"/>
        </w:numPr>
        <w:pStyle w:val="Compact"/>
      </w:pPr>
      <w:r>
        <w:t xml:space="preserve">Pre- and post-campaign community sentiment surveys (n=12,500 Melbourne residents)</w:t>
      </w:r>
    </w:p>
    <w:p>
      <w:pPr>
        <w:numPr>
          <w:ilvl w:val="0"/>
          <w:numId w:val="1001"/>
        </w:numPr>
        <w:pStyle w:val="Compact"/>
      </w:pPr>
      <w:r>
        <w:t xml:space="preserve">Social media engagement analysis across Melbourne suburbs</w:t>
      </w:r>
    </w:p>
    <w:p>
      <w:pPr>
        <w:numPr>
          <w:ilvl w:val="0"/>
          <w:numId w:val="1001"/>
        </w:numPr>
        <w:pStyle w:val="Compact"/>
      </w:pPr>
      <w:r>
        <w:t xml:space="preserve">Attendance data at local precinct events (321 events held in Melbourne)</w:t>
      </w:r>
    </w:p>
    <w:p>
      <w:pPr>
        <w:numPr>
          <w:ilvl w:val="0"/>
          <w:numId w:val="1001"/>
        </w:numPr>
        <w:pStyle w:val="Compact"/>
      </w:pPr>
      <w:r>
        <w:t xml:space="preserve">Voter registration trends via Victorian Electoral Commission data</w:t>
      </w:r>
    </w:p>
    <w:bookmarkEnd w:id="21"/>
    <w:bookmarkStart w:id="22" w:name="X2629d309af85ff9987bde8111653e407f82802c"/>
    <w:p>
      <w:pPr>
        <w:pStyle w:val="Heading2"/>
      </w:pPr>
      <w:r>
        <w:t xml:space="preserve">III. Key Performance Indicators: The Melbourne Campaign Sales Dashboard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Pre-Campaign (Jan 2023)</w:t>
            </w:r>
          </w:p>
        </w:tc>
        <w:tc>
          <w:tcPr/>
          <w:p>
            <w:pPr>
              <w:pStyle w:val="Compact"/>
              <w:jc w:val="left"/>
            </w:pPr>
            <w:r>
              <w:t xml:space="preserve">Current Campaign (Sep 2023)</w:t>
            </w:r>
          </w:p>
        </w:tc>
        <w:tc>
          <w:tcPr/>
          <w:p>
            <w:pPr>
              <w:pStyle w:val="Compact"/>
              <w:jc w:val="left"/>
            </w:pPr>
            <w:r>
              <w:t xml:space="preserve">% Change</w:t>
            </w:r>
          </w:p>
        </w:tc>
      </w:tr>
      <w:tr>
        <w:tc>
          <w:tcPr/>
          <w:p>
            <w:pPr>
              <w:pStyle w:val="Compact"/>
              <w:jc w:val="left"/>
            </w:pPr>
            <w:r>
              <w:t xml:space="preserve">Voter Awareness in Melbourne</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pts</w:t>
            </w:r>
          </w:p>
        </w:tc>
      </w:tr>
      <w:tr>
        <w:tc>
          <w:tcPr/>
          <w:p>
            <w:pPr>
              <w:pStyle w:val="Compact"/>
              <w:jc w:val="left"/>
            </w:pPr>
            <w:r>
              <w:t xml:space="preserve">Polarized Support Index (Low)</w:t>
            </w:r>
          </w:p>
        </w:tc>
        <w:tc>
          <w:tcPr/>
          <w:p>
            <w:pPr>
              <w:pStyle w:val="Compact"/>
              <w:jc w:val="left"/>
            </w:pPr>
            <w:r>
              <w:t xml:space="preserve">34%22%-12 pts</w:t>
            </w:r>
          </w:p>
        </w:tc>
        <w:tc>
          <w:tcPr/>
          <w:p>
            <w:pPr>
              <w:pStyle w:val="Compact"/>
            </w:pPr>
          </w:p>
        </w:tc>
        <w:tc>
          <w:tcPr/>
          <w:p>
            <w:pPr>
              <w:pStyle w:val="Compact"/>
            </w:pPr>
          </w:p>
        </w:tc>
      </w:tr>
      <w:tr>
        <w:tc>
          <w:tcPr/>
          <w:p>
            <w:pPr>
              <w:pStyle w:val="Compact"/>
              <w:jc w:val="left"/>
            </w:pPr>
            <w:r>
              <w:t xml:space="preserve">Community Event Attendance (Melbourne)</w:t>
            </w:r>
          </w:p>
        </w:tc>
        <w:tc>
          <w:tcPr/>
          <w:p>
            <w:pPr>
              <w:pStyle w:val="Compact"/>
              <w:jc w:val="left"/>
            </w:pPr>
            <w:r>
              <w:t xml:space="preserve">1,850 avg./event</w:t>
            </w:r>
          </w:p>
        </w:tc>
        <w:tc>
          <w:tcPr/>
          <w:p>
            <w:pPr>
              <w:pStyle w:val="Compact"/>
              <w:jc w:val="left"/>
            </w:pPr>
            <w:r>
              <w:t xml:space="preserve">3,470 avg./event</w:t>
            </w:r>
          </w:p>
        </w:tc>
        <w:tc>
          <w:tcPr/>
          <w:p>
            <w:pPr>
              <w:pStyle w:val="Compact"/>
              <w:jc w:val="left"/>
            </w:pPr>
            <w:r>
              <w:t xml:space="preserve">+87.6%</w:t>
            </w:r>
          </w:p>
        </w:tc>
      </w:tr>
      <w:tr>
        <w:tc>
          <w:tcPr/>
          <w:p>
            <w:pPr>
              <w:pStyle w:val="Compact"/>
              <w:jc w:val="left"/>
            </w:pPr>
            <w:r>
              <w:t xml:space="preserve">Social Media Engagement Rate (Melb. Suburbs)</w:t>
            </w:r>
          </w:p>
        </w:tc>
        <w:tc>
          <w:tcPr/>
          <w:p>
            <w:pPr>
              <w:pStyle w:val="Compact"/>
              <w:jc w:val="left"/>
            </w:pPr>
            <w:r>
              <w:t xml:space="preserve">4.2%12.8%+205%</w:t>
            </w:r>
          </w:p>
        </w:tc>
        <w:tc>
          <w:tcPr/>
          <w:p>
            <w:pPr>
              <w:pStyle w:val="Compact"/>
            </w:pPr>
          </w:p>
        </w:tc>
        <w:tc>
          <w:tcPr/>
          <w:p>
            <w:pPr>
              <w:pStyle w:val="Compact"/>
            </w:pPr>
          </w:p>
        </w:tc>
      </w:tr>
      <w:tr>
        <w:tc>
          <w:tcPr/>
          <w:p>
            <w:pPr>
              <w:pStyle w:val="Compact"/>
              <w:jc w:val="left"/>
            </w:pPr>
            <w:r>
              <w:t xml:space="preserve">Voter Registration Growth (Melbourne)</w:t>
            </w:r>
          </w:p>
        </w:tc>
        <w:tc>
          <w:tcPr/>
          <w:p>
            <w:pPr>
              <w:pStyle w:val="Compact"/>
              <w:jc w:val="left"/>
            </w:pPr>
            <w:r>
              <w:t xml:space="preserve">+1,200+7,850+554%</w:t>
            </w:r>
          </w:p>
        </w:tc>
        <w:tc>
          <w:tcPr/>
          <w:p>
            <w:pPr>
              <w:pStyle w:val="Compact"/>
            </w:pPr>
          </w:p>
        </w:tc>
        <w:tc>
          <w:tcPr/>
          <w:p>
            <w:pPr>
              <w:pStyle w:val="Compact"/>
            </w:pPr>
          </w:p>
        </w:tc>
      </w:tr>
    </w:tbl>
    <w:bookmarkEnd w:id="22"/>
    <w:bookmarkStart w:id="26" w:name="Xe625d219ffdd4a0d6d601b694ab1ff5dca6139a"/>
    <w:p>
      <w:pPr>
        <w:pStyle w:val="Heading2"/>
      </w:pPr>
      <w:r>
        <w:t xml:space="preserve">IV. Critical Success Factors: Why the Melbourne Campaign "Sold" Effectively</w:t>
      </w:r>
    </w:p>
    <w:bookmarkStart w:id="23" w:name="X73ab770f4a12e58048c4c29bee9e24e1f16078f"/>
    <w:p>
      <w:pPr>
        <w:pStyle w:val="Heading3"/>
      </w:pPr>
      <w:r>
        <w:t xml:space="preserve">A. Hyper-Local Policy Positioning (The Melbourne Imperative)</w:t>
      </w:r>
    </w:p>
    <w:p>
      <w:pPr>
        <w:pStyle w:val="FirstParagraph"/>
      </w:pPr>
      <w:r>
        <w:t xml:space="preserve">The [Politician Name] campaign successfully executed a "Melbourne First" policy sales strategy, moving beyond generic Australian platforms to address city-specific pain points. Campaigns were designed around core Melbourne issues that directly influence voter "purchase decisions":</w:t>
      </w:r>
    </w:p>
    <w:p>
      <w:pPr>
        <w:numPr>
          <w:ilvl w:val="0"/>
          <w:numId w:val="1002"/>
        </w:numPr>
        <w:pStyle w:val="Compact"/>
      </w:pPr>
      <w:r>
        <w:rPr>
          <w:bCs/>
          <w:b/>
        </w:rPr>
        <w:t xml:space="preserve">Docklands &amp; Yarra River Redevelopment:</w:t>
      </w:r>
      <w:r>
        <w:t xml:space="preserve"> </w:t>
      </w:r>
      <w:r>
        <w:t xml:space="preserve">Policy proposals securing 72% support in target suburbs (Southbank, Docklands)</w:t>
      </w:r>
    </w:p>
    <w:p>
      <w:pPr>
        <w:numPr>
          <w:ilvl w:val="0"/>
          <w:numId w:val="1002"/>
        </w:numPr>
        <w:pStyle w:val="Compact"/>
      </w:pPr>
      <w:r>
        <w:rPr>
          <w:bCs/>
          <w:b/>
        </w:rPr>
        <w:t xml:space="preserve">Public Transport Expansion:</w:t>
      </w:r>
      <w:r>
        <w:t xml:space="preserve"> </w:t>
      </w:r>
      <w:r>
        <w:t xml:space="preserve">Specific plans for Melbourne Metro Line 3, driving a 31-point increase in commuter trust</w:t>
      </w:r>
    </w:p>
    <w:p>
      <w:pPr>
        <w:numPr>
          <w:ilvl w:val="0"/>
          <w:numId w:val="1002"/>
        </w:numPr>
        <w:pStyle w:val="Compact"/>
      </w:pPr>
      <w:r>
        <w:rPr>
          <w:bCs/>
          <w:b/>
        </w:rPr>
        <w:t xml:space="preserve">Schools &amp; Healthcare Funding:</w:t>
      </w:r>
      <w:r>
        <w:t xml:space="preserve"> </w:t>
      </w:r>
      <w:r>
        <w:t xml:space="preserve">Targeted commitments to Melbourne's inner-city schools, increasing support among parents by 26%</w:t>
      </w:r>
    </w:p>
    <w:bookmarkEnd w:id="23"/>
    <w:bookmarkStart w:id="24" w:name="Xd74a6c1e53c1d06a9709285f58432fb220865d6"/>
    <w:p>
      <w:pPr>
        <w:pStyle w:val="Heading3"/>
      </w:pPr>
      <w:r>
        <w:t xml:space="preserve">B. Community Engagement as "Sales Conversion" Strategy</w:t>
      </w:r>
    </w:p>
    <w:p>
      <w:pPr>
        <w:pStyle w:val="FirstParagraph"/>
      </w:pPr>
      <w:r>
        <w:t xml:space="preserve">Rather than generic rallies, the campaign deployed a territory-based "sales force" approach across Melbourne suburbs. Each precinct team (led by local volunteers) conducted:</w:t>
      </w:r>
    </w:p>
    <w:p>
      <w:pPr>
        <w:numPr>
          <w:ilvl w:val="0"/>
          <w:numId w:val="1003"/>
        </w:numPr>
        <w:pStyle w:val="Compact"/>
      </w:pPr>
      <w:r>
        <w:t xml:space="preserve">Neighborhood coffee chats in 42 Melbourne suburbs</w:t>
      </w:r>
    </w:p>
    <w:p>
      <w:pPr>
        <w:numPr>
          <w:ilvl w:val="0"/>
          <w:numId w:val="1003"/>
        </w:numPr>
        <w:pStyle w:val="Compact"/>
      </w:pPr>
      <w:r>
        <w:t xml:space="preserve">Targeted policy workshops at community centers (e.g., Footscray Community Arts, Carlton Social Hub)</w:t>
      </w:r>
    </w:p>
    <w:p>
      <w:pPr>
        <w:numPr>
          <w:ilvl w:val="0"/>
          <w:numId w:val="1003"/>
        </w:numPr>
        <w:pStyle w:val="Compact"/>
      </w:pPr>
      <w:r>
        <w:t xml:space="preserve">Digital "town halls" addressing suburb-specific concerns</w:t>
      </w:r>
    </w:p>
    <w:p>
      <w:pPr>
        <w:pStyle w:val="FirstParagraph"/>
      </w:pPr>
      <w:r>
        <w:t xml:space="preserve">This localized engagement model directly translated into a 37% higher voter commitment rate in areas with &gt;10 precinct events compared to campaign averages, proving that Melbourne's political "sales cycle" requires granular community interaction.</w:t>
      </w:r>
    </w:p>
    <w:bookmarkEnd w:id="24"/>
    <w:bookmarkStart w:id="25" w:name="c.-digital-sales-funnel-optimization"/>
    <w:p>
      <w:pPr>
        <w:pStyle w:val="Heading3"/>
      </w:pPr>
      <w:r>
        <w:t xml:space="preserve">C. Digital Sales Funnel Optimization</w:t>
      </w:r>
    </w:p>
    <w:p>
      <w:pPr>
        <w:pStyle w:val="FirstParagraph"/>
      </w:pPr>
      <w:r>
        <w:t xml:space="preserve">Australia's evolving digital landscape required a tailored approach for Melbourne voters. The campaign implemented:</w:t>
      </w:r>
    </w:p>
    <w:p>
      <w:pPr>
        <w:numPr>
          <w:ilvl w:val="0"/>
          <w:numId w:val="1004"/>
        </w:numPr>
        <w:pStyle w:val="Compact"/>
      </w:pPr>
      <w:r>
        <w:t xml:space="preserve">Geo-targeted social media ads focusing on Melbourne council wards</w:t>
      </w:r>
    </w:p>
    <w:p>
      <w:pPr>
        <w:numPr>
          <w:ilvl w:val="0"/>
          <w:numId w:val="1004"/>
        </w:numPr>
        <w:pStyle w:val="Compact"/>
      </w:pPr>
      <w:r>
        <w:t xml:space="preserve">Content optimized for Melbourne-specific vernacular (e.g., "How the [Politician Name] plan fixes tram delays in Clifton Hill")</w:t>
      </w:r>
    </w:p>
    <w:p>
      <w:pPr>
        <w:numPr>
          <w:ilvl w:val="0"/>
          <w:numId w:val="1004"/>
        </w:numPr>
        <w:pStyle w:val="Compact"/>
      </w:pPr>
      <w:r>
        <w:t xml:space="preserve">A dedicated Melbourne voter portal tracking local policy impact</w:t>
      </w:r>
    </w:p>
    <w:p>
      <w:pPr>
        <w:pStyle w:val="FirstParagraph"/>
      </w:pPr>
      <w:r>
        <w:t xml:space="preserve">This resulted in a 41% higher conversion rate from digital engagement to volunteer sign-ups within Melbourne compared to other states, demonstrating the effectiveness of digital "sales" tactics in Australia's most connected city.</w:t>
      </w:r>
    </w:p>
    <w:bookmarkEnd w:id="25"/>
    <w:bookmarkEnd w:id="26"/>
    <w:bookmarkStart w:id="27" w:name="X72b1c522fa7a815696989393e0e0586ed072249"/>
    <w:p>
      <w:pPr>
        <w:pStyle w:val="Heading2"/>
      </w:pPr>
      <w:r>
        <w:t xml:space="preserve">V. Challenges &amp; Required Adjustments (The Melbourne Market Reality)</w:t>
      </w:r>
    </w:p>
    <w:p>
      <w:pPr>
        <w:pStyle w:val="FirstParagraph"/>
      </w:pPr>
      <w:r>
        <w:t xml:space="preserve">While campaign metrics are strong, challenges persist in Melbourne's complex political environment:</w:t>
      </w:r>
    </w:p>
    <w:p>
      <w:pPr>
        <w:numPr>
          <w:ilvl w:val="0"/>
          <w:numId w:val="1005"/>
        </w:numPr>
        <w:pStyle w:val="Compact"/>
      </w:pPr>
      <w:r>
        <w:rPr>
          <w:bCs/>
          <w:b/>
        </w:rPr>
        <w:t xml:space="preserve">High-Value Voter Retention:</w:t>
      </w:r>
      <w:r>
        <w:t xml:space="preserve"> </w:t>
      </w:r>
      <w:r>
        <w:t xml:space="preserve">34% of acquired voters required additional engagement to maintain active support vs. 21% nationally</w:t>
      </w:r>
    </w:p>
    <w:p>
      <w:pPr>
        <w:numPr>
          <w:ilvl w:val="0"/>
          <w:numId w:val="1005"/>
        </w:numPr>
        <w:pStyle w:val="Compact"/>
      </w:pPr>
      <w:r>
        <w:rPr>
          <w:bCs/>
          <w:b/>
        </w:rPr>
        <w:t xml:space="preserve">Competitive Messaging:</w:t>
      </w:r>
      <w:r>
        <w:t xml:space="preserve"> </w:t>
      </w:r>
      <w:r>
        <w:t xml:space="preserve">Rival campaigns replicated key Melbourne policy points, reducing differentiation (requiring weekly strategy refreshes)</w:t>
      </w:r>
    </w:p>
    <w:p>
      <w:pPr>
        <w:numPr>
          <w:ilvl w:val="0"/>
          <w:numId w:val="1005"/>
        </w:numPr>
        <w:pStyle w:val="Compact"/>
      </w:pPr>
      <w:r>
        <w:rPr>
          <w:bCs/>
          <w:b/>
        </w:rPr>
        <w:t xml:space="preserve">Demographic Nuance:</w:t>
      </w:r>
      <w:r>
        <w:t xml:space="preserve"> </w:t>
      </w:r>
      <w:r>
        <w:t xml:space="preserve">Younger Melbourne voters (18-24) showed 19% lower conversion rates than older demographics on climate policies</w:t>
      </w:r>
    </w:p>
    <w:bookmarkEnd w:id="27"/>
    <w:bookmarkStart w:id="28" w:name="X4e7b41e4c01adbb54b4541b135f27fe6925a84a"/>
    <w:p>
      <w:pPr>
        <w:pStyle w:val="Heading2"/>
      </w:pPr>
      <w:r>
        <w:t xml:space="preserve">VI. Strategic Recommendations for Future Melbourne Campaigns</w:t>
      </w:r>
    </w:p>
    <w:p>
      <w:pPr>
        <w:pStyle w:val="FirstParagraph"/>
      </w:pPr>
      <w:r>
        <w:t xml:space="preserve">To maximize "sales" performance in Australia's most significant electoral market, the following actions are prioritized:</w:t>
      </w:r>
    </w:p>
    <w:p>
      <w:pPr>
        <w:numPr>
          <w:ilvl w:val="0"/>
          <w:numId w:val="1006"/>
        </w:numPr>
        <w:pStyle w:val="Compact"/>
      </w:pPr>
      <w:r>
        <w:rPr>
          <w:bCs/>
          <w:b/>
        </w:rPr>
        <w:t xml:space="preserve">Deepen Suburb-Specific Policy Packs:</w:t>
      </w:r>
      <w:r>
        <w:t xml:space="preserve"> </w:t>
      </w:r>
      <w:r>
        <w:t xml:space="preserve">Develop tailored policy documents for each of Melbourne's 50+ council wards (e.g., a dedicated 'South Yarra Housing Strategy').</w:t>
      </w:r>
    </w:p>
    <w:p>
      <w:pPr>
        <w:numPr>
          <w:ilvl w:val="0"/>
          <w:numId w:val="1006"/>
        </w:numPr>
        <w:pStyle w:val="Compact"/>
      </w:pPr>
      <w:r>
        <w:rPr>
          <w:bCs/>
          <w:b/>
        </w:rPr>
        <w:t xml:space="preserve">Invest in Youth Digital Sales Channels:</w:t>
      </w:r>
      <w:r>
        <w:t xml:space="preserve"> </w:t>
      </w:r>
      <w:r>
        <w:t xml:space="preserve">Partner with Melbourne student networks on TikTok/Instagram to improve conversion among Gen-Z voters.</w:t>
      </w:r>
    </w:p>
    <w:p>
      <w:pPr>
        <w:numPr>
          <w:ilvl w:val="0"/>
          <w:numId w:val="1006"/>
        </w:numPr>
        <w:pStyle w:val="Compact"/>
      </w:pPr>
      <w:r>
        <w:rPr>
          <w:bCs/>
          <w:b/>
        </w:rPr>
        <w:t xml:space="preserve">Enhance "Post-Sale" Support Systems:</w:t>
      </w:r>
      <w:r>
        <w:t xml:space="preserve"> </w:t>
      </w:r>
      <w:r>
        <w:t xml:space="preserve">Implement a volunteer engagement platform to convert supporters into active campaign participants (reducing retention costs by 28% in pilot areas).</w:t>
      </w:r>
    </w:p>
    <w:p>
      <w:pPr>
        <w:numPr>
          <w:ilvl w:val="0"/>
          <w:numId w:val="1006"/>
        </w:numPr>
        <w:pStyle w:val="Compact"/>
      </w:pPr>
      <w:r>
        <w:rPr>
          <w:bCs/>
          <w:b/>
        </w:rPr>
        <w:t xml:space="preserve">Leverage Melbourne's Cultural Assets:</w:t>
      </w:r>
      <w:r>
        <w:t xml:space="preserve"> </w:t>
      </w:r>
      <w:r>
        <w:t xml:space="preserve">Integrate political messaging into local events like Moomba Festival and Melbourne International Comedy Festival for organic community reach.</w:t>
      </w:r>
    </w:p>
    <w:bookmarkEnd w:id="28"/>
    <w:bookmarkStart w:id="29" w:name="Xb724dee531c981deacc799efafe2cf1541e80e7"/>
    <w:p>
      <w:pPr>
        <w:pStyle w:val="Heading2"/>
      </w:pPr>
      <w:r>
        <w:t xml:space="preserve">VII. Conclusion: The Future of Political Sales in Australia's Capital City</w:t>
      </w:r>
    </w:p>
    <w:p>
      <w:pPr>
        <w:pStyle w:val="FirstParagraph"/>
      </w:pPr>
      <w:r>
        <w:t xml:space="preserve">This Sales Report unequivocally demonstrates that the [Politician Name] campaign has successfully executed a modern political "sales" strategy within Melbourne, Australia. By treating voter acquisition as a customer-centric process—rooted in hyper-local engagement, policy relevance to Melbourne residents, and digital optimization—the campaign achieved results that significantly outpace national averages. The data confirms that understanding Melbourne's unique urban ecosystem is not merely beneficial but essential for electoral success in Australia's political marketplace. As the [Politician Name] continues their journey toward office, this report provides a replicable framework for future candidates aiming to effectively "sell" their vision across Melbourne and beyond. The true metric of success is not just votes secured, but the establishment of a sustainable voter relationship model that aligns with Melbourne's democratic values and urban identity.</w:t>
      </w:r>
    </w:p>
    <w:p>
      <w:pPr>
        <w:pStyle w:val="BodyText"/>
      </w:pPr>
      <w:r>
        <w:rPr>
          <w:bCs/>
          <w:b/>
        </w:rPr>
        <w:t xml:space="preserve">Disclaimer:</w:t>
      </w:r>
      <w:r>
        <w:t xml:space="preserve"> </w:t>
      </w:r>
      <w:r>
        <w:t xml:space="preserve">This document uses "sales" metaphorically to describe political engagement strategies. It does not represent transactional sales activity or endorse any candidate for commercial purposes. All data is representative of campaign performance metrics within the Australian electoral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Performance Report: Melbourne Focus</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