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Performance</w:t>
      </w:r>
      <w:r>
        <w:t xml:space="preserve"> </w:t>
      </w:r>
      <w:r>
        <w:t xml:space="preserve">Analysis</w:t>
      </w:r>
    </w:p>
    <w:bookmarkStart w:id="27" w:name="X0395c5efd6cbccd51809aab65efe447f8adbbf6"/>
    <w:p>
      <w:pPr>
        <w:pStyle w:val="Heading1"/>
      </w:pPr>
      <w:r>
        <w:t xml:space="preserve">Sydney Sales Report: Strategic Political Campaign Performance Analysis for Australia's Metropolitan Hub</w:t>
      </w:r>
    </w:p>
    <w:p>
      <w:pPr>
        <w:pStyle w:val="FirstParagraph"/>
      </w:pPr>
      <w:r>
        <w:rPr>
          <w:bCs/>
          <w:b/>
        </w:rPr>
        <w:t xml:space="preserve">Prepared For:</w:t>
      </w:r>
      <w:r>
        <w:t xml:space="preserve"> </w:t>
      </w:r>
      <w:r>
        <w:t xml:space="preserve">NSW State Political Strategy Committee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Australia Sydney Metropolitan Area</w:t>
      </w:r>
    </w:p>
    <w:bookmarkStart w:id="20" w:name="executive-summary"/>
    <w:p>
      <w:pPr>
        <w:pStyle w:val="Heading2"/>
      </w:pPr>
      <w:r>
        <w:t xml:space="preserve">Executive Summary</w:t>
      </w:r>
    </w:p>
    <w:p>
      <w:pPr>
        <w:pStyle w:val="FirstParagraph"/>
      </w:pPr>
      <w:r>
        <w:t xml:space="preserve">This comprehensive Sales Report details the performance metrics of the current political campaign cycle within Australia Sydney. As one of the most competitive electoral markets in Australia, Sydney represents a pivotal sales territory for any Politician seeking statewide influence. The report analyzes voter acquisition, policy adoption rates, and community engagement strategies across 12 key electorates from Manly to Parramatta. Key findings indicate a 34% year-on-year increase in grassroots support conversion rates—a metric directly tied to the Politician's ability to translate campaign messaging into tangible voter commitment. Crucially, Sydney's unique urban dynamics have necessitated hyper-localized sales tactics unlike any other region in Australia.</w:t>
      </w:r>
    </w:p>
    <w:bookmarkEnd w:id="20"/>
    <w:bookmarkStart w:id="21" w:name="X116531a92363998064b5de0dab27404002ec421"/>
    <w:p>
      <w:pPr>
        <w:pStyle w:val="Heading2"/>
      </w:pPr>
      <w:r>
        <w:t xml:space="preserve">Market Analysis: The Sydney Political Landscape</w:t>
      </w:r>
    </w:p>
    <w:p>
      <w:pPr>
        <w:pStyle w:val="FirstParagraph"/>
      </w:pPr>
      <w:r>
        <w:t xml:space="preserve">Australia Sydney operates as a distinct political micro-market with five defining characteristics shaping campaign sales performance:</w:t>
      </w:r>
    </w:p>
    <w:p>
      <w:pPr>
        <w:numPr>
          <w:ilvl w:val="0"/>
          <w:numId w:val="1001"/>
        </w:numPr>
        <w:pStyle w:val="Compact"/>
      </w:pPr>
      <w:r>
        <w:rPr>
          <w:bCs/>
          <w:b/>
        </w:rPr>
        <w:t xml:space="preserve">Demographic Fragmentation:</w:t>
      </w:r>
      <w:r>
        <w:t xml:space="preserve"> </w:t>
      </w:r>
      <w:r>
        <w:t xml:space="preserve">3.5 million voters across 10 diverse electoral boundaries (e.g., Inner City vs. Western Sydney) demand customized messaging.</w:t>
      </w:r>
    </w:p>
    <w:p>
      <w:pPr>
        <w:numPr>
          <w:ilvl w:val="0"/>
          <w:numId w:val="1001"/>
        </w:numPr>
        <w:pStyle w:val="Compact"/>
      </w:pPr>
      <w:r>
        <w:rPr>
          <w:bCs/>
          <w:b/>
        </w:rPr>
        <w:t xml:space="preserve">Policy Sensitivity:</w:t>
      </w:r>
      <w:r>
        <w:t xml:space="preserve"> </w:t>
      </w:r>
      <w:r>
        <w:t xml:space="preserve">Housing affordability and transport infrastructure consistently rank as the top "purchase drivers" among Sydney voters.</w:t>
      </w:r>
    </w:p>
    <w:p>
      <w:pPr>
        <w:numPr>
          <w:ilvl w:val="0"/>
          <w:numId w:val="1001"/>
        </w:numPr>
        <w:pStyle w:val="Compact"/>
      </w:pPr>
      <w:r>
        <w:rPr>
          <w:bCs/>
          <w:b/>
        </w:rPr>
        <w:t xml:space="preserve">Media Saturation:</w:t>
      </w:r>
      <w:r>
        <w:t xml:space="preserve"> </w:t>
      </w:r>
      <w:r>
        <w:t xml:space="preserve">78% of Sydney households consume local news daily, making traditional campaign sales channels (radio, billboards) less effective than digital engagement.</w:t>
      </w:r>
    </w:p>
    <w:p>
      <w:pPr>
        <w:numPr>
          <w:ilvl w:val="0"/>
          <w:numId w:val="1001"/>
        </w:numPr>
        <w:pStyle w:val="Compact"/>
      </w:pPr>
      <w:r>
        <w:rPr>
          <w:bCs/>
          <w:b/>
        </w:rPr>
        <w:t xml:space="preserve">Competitive Overload:</w:t>
      </w:r>
      <w:r>
        <w:t xml:space="preserve"> </w:t>
      </w:r>
      <w:r>
        <w:t xml:space="preserve">9 political parties actively competing for attention in a market where voter loyalty averages just 2.3 years.</w:t>
      </w:r>
    </w:p>
    <w:p>
      <w:pPr>
        <w:numPr>
          <w:ilvl w:val="0"/>
          <w:numId w:val="1001"/>
        </w:numPr>
        <w:pStyle w:val="Compact"/>
      </w:pPr>
      <w:r>
        <w:rPr>
          <w:bCs/>
          <w:b/>
        </w:rPr>
        <w:t xml:space="preserve">Urban Infrastructure Constraints:</w:t>
      </w:r>
      <w:r>
        <w:t xml:space="preserve"> </w:t>
      </w:r>
      <w:r>
        <w:t xml:space="preserve">Traffic congestion on the M4 and CBD transport delays directly impact campaign event attendance—critical for sales conversion.</w:t>
      </w:r>
    </w:p>
    <w:bookmarkEnd w:id="21"/>
    <w:bookmarkStart w:id="22" w:name="sales-performance-metrics-sydney-region"/>
    <w:p>
      <w:pPr>
        <w:pStyle w:val="Heading2"/>
      </w:pPr>
      <w:r>
        <w:t xml:space="preserve">Sales Performance Metrics (Sydney Region)</w:t>
      </w:r>
    </w:p>
    <w:p>
      <w:pPr>
        <w:pStyle w:val="FirstParagraph"/>
      </w:pPr>
      <w:r>
        <w:t xml:space="preserve">Key Metric</w:t>
      </w:r>
    </w:p>
    <w:p>
      <w:pPr>
        <w:pStyle w:val="BodyText"/>
      </w:pPr>
      <w:r>
        <w:t xml:space="preserve">Current Cycle</w:t>
      </w:r>
    </w:p>
    <w:p>
      <w:pPr>
        <w:pStyle w:val="BodyText"/>
      </w:pPr>
      <w:r>
        <w:t xml:space="preserve">Last Cycle</w:t>
      </w:r>
    </w:p>
    <w:p>
      <w:pPr>
        <w:pStyle w:val="BodyText"/>
      </w:pPr>
      <w:r>
        <w:t xml:space="preserve">Variance</w:t>
      </w:r>
    </w:p>
    <w:p>
      <w:pPr>
        <w:pStyle w:val="BodyText"/>
      </w:pPr>
      <w:r>
        <w:t xml:space="preserve">Voter Acquisition Rate (New Registrations)</w:t>
      </w:r>
    </w:p>
    <w:p>
      <w:pPr>
        <w:pStyle w:val="BodyText"/>
      </w:pPr>
      <w:r>
        <w:t xml:space="preserve">42,700</w:t>
      </w:r>
    </w:p>
    <w:p>
      <w:pPr>
        <w:pStyle w:val="BodyText"/>
      </w:pPr>
      <w:r>
        <w:t xml:space="preserve">31,950</w:t>
      </w:r>
    </w:p>
    <w:p>
      <w:pPr>
        <w:pStyle w:val="BodyText"/>
      </w:pPr>
      <w:r>
        <w:t xml:space="preserve">+33.6%</w:t>
      </w:r>
    </w:p>
    <w:p>
      <w:pPr>
        <w:pStyle w:val="BodyText"/>
      </w:pPr>
      <w:r>
        <w:t xml:space="preserve">Policy Adoption Score (Housing/Transit)</w:t>
      </w:r>
    </w:p>
    <w:p>
      <w:pPr>
        <w:pStyle w:val="BodyText"/>
      </w:pPr>
      <w:r>
        <w:t xml:space="preserve">82.4%</w:t>
      </w:r>
    </w:p>
    <w:p>
      <w:pPr>
        <w:pStyle w:val="BodyText"/>
      </w:pPr>
      <w:r>
        <w:t xml:space="preserve">70.1%</w:t>
      </w:r>
    </w:p>
    <w:p>
      <w:pPr>
        <w:pStyle w:val="BodyText"/>
      </w:pPr>
      <w:r>
        <w:t xml:space="preserve">+12.3 pts</w:t>
      </w:r>
    </w:p>
    <w:p>
      <w:pPr>
        <w:pStyle w:val="BodyText"/>
      </w:pPr>
      <w:r>
        <w:t xml:space="preserve">Social Media Engagement Rate</w:t>
      </w:r>
    </w:p>
    <w:p>
      <w:pPr>
        <w:pStyle w:val="BodyText"/>
      </w:pPr>
      <w:r>
        <w:t xml:space="preserve">18.7%</w:t>
      </w:r>
    </w:p>
    <w:p>
      <w:pPr>
        <w:pStyle w:val="BodyText"/>
      </w:pPr>
      <w:r>
        <w:t xml:space="preserve">14.2%</w:t>
      </w:r>
    </w:p>
    <w:p>
      <w:pPr>
        <w:pStyle w:val="BodyText"/>
      </w:pPr>
      <w:r>
        <w:t xml:space="preserve">+4.5 pts</w:t>
      </w:r>
    </w:p>
    <w:p>
      <w:pPr>
        <w:pStyle w:val="BodyText"/>
      </w:pPr>
      <w:r>
        <w:t xml:space="preserve">The Politician's signature "Sydney Living Solutions" policy package achieved the highest conversion rate (68%) among all proposed initiatives, directly correlating with the campaign's emphasis on local Sydney issues like waterfront development in Barangaroo and M4 relief projects. Notably, community town hall sales events in areas like Surry Hills (72% attendance) outperformed digital-only campaigns by 41%—proving physical presence remains vital for political sales success in Australia's densest city.</w:t>
      </w:r>
    </w:p>
    <w:bookmarkEnd w:id="22"/>
    <w:bookmarkStart w:id="23" w:name="X68d15c4541aaa682297e9b0f1216a865cca1d01"/>
    <w:p>
      <w:pPr>
        <w:pStyle w:val="Heading2"/>
      </w:pPr>
      <w:r>
        <w:t xml:space="preserve">Geographic Sales Breakdown: Sydney Suburbs</w:t>
      </w:r>
    </w:p>
    <w:p>
      <w:pPr>
        <w:pStyle w:val="FirstParagraph"/>
      </w:pPr>
      <w:r>
        <w:t xml:space="preserve">Performance varies dramatically across Sydney's electoral map:</w:t>
      </w:r>
    </w:p>
    <w:p>
      <w:pPr>
        <w:numPr>
          <w:ilvl w:val="0"/>
          <w:numId w:val="1002"/>
        </w:numPr>
        <w:pStyle w:val="Compact"/>
      </w:pPr>
      <w:r>
        <w:rPr>
          <w:bCs/>
          <w:b/>
        </w:rPr>
        <w:t xml:space="preserve">CBD &amp; Inner West (e.g., Newtown, Glebe):</w:t>
      </w:r>
      <w:r>
        <w:t xml:space="preserve"> </w:t>
      </w:r>
      <w:r>
        <w:t xml:space="preserve">63% higher voter retention. Strategy: Leveraged proximity to iconic Sydney landmarks (Sydney Opera House) for "policy launch events" with high media visibility. Sales converted 27% faster than market average.</w:t>
      </w:r>
    </w:p>
    <w:p>
      <w:pPr>
        <w:numPr>
          <w:ilvl w:val="0"/>
          <w:numId w:val="1002"/>
        </w:numPr>
        <w:pStyle w:val="Compact"/>
      </w:pPr>
      <w:r>
        <w:rPr>
          <w:bCs/>
          <w:b/>
        </w:rPr>
        <w:t xml:space="preserve">Western Sydney (e.g., Parramatta, Blacktown):</w:t>
      </w:r>
      <w:r>
        <w:t xml:space="preserve"> </w:t>
      </w:r>
      <w:r>
        <w:t xml:space="preserve">Highest new voter acquisition (+41%). Strategy: Partnered with local businesses and community centers for "sales clinics" addressing specific suburb challenges like hospital upgrades. Politician's personal visits to Western Sydney events increased conversion by 38%.</w:t>
      </w:r>
    </w:p>
    <w:p>
      <w:pPr>
        <w:numPr>
          <w:ilvl w:val="0"/>
          <w:numId w:val="1002"/>
        </w:numPr>
        <w:pStyle w:val="Compact"/>
      </w:pPr>
      <w:r>
        <w:rPr>
          <w:bCs/>
          <w:b/>
        </w:rPr>
        <w:t xml:space="preserve">Eastern Suburbs (e.g., Bondi, Double Bay):</w:t>
      </w:r>
      <w:r>
        <w:t xml:space="preserve"> </w:t>
      </w:r>
      <w:r>
        <w:t xml:space="preserve">Highest policy adoption but lowest acquisition. Strategy: Focused on premium "exclusive community briefings" for high-net-worth voters—resulting in a 29% higher average donation value per sale.</w:t>
      </w:r>
    </w:p>
    <w:bookmarkEnd w:id="23"/>
    <w:bookmarkStart w:id="24" w:name="Xf7adf6612fa231453ec7779f9c877d27884d423"/>
    <w:p>
      <w:pPr>
        <w:pStyle w:val="Heading2"/>
      </w:pPr>
      <w:r>
        <w:t xml:space="preserve">Key Challenges Impacting Political Sales Performance</w:t>
      </w:r>
    </w:p>
    <w:p>
      <w:pPr>
        <w:pStyle w:val="FirstParagraph"/>
      </w:pPr>
      <w:r>
        <w:t xml:space="preserve">Two critical issues have hindered Sydney sales velocity:</w:t>
      </w:r>
    </w:p>
    <w:p>
      <w:pPr>
        <w:numPr>
          <w:ilvl w:val="0"/>
          <w:numId w:val="1003"/>
        </w:numPr>
        <w:pStyle w:val="Compact"/>
      </w:pPr>
      <w:r>
        <w:rPr>
          <w:bCs/>
          <w:b/>
        </w:rPr>
        <w:t xml:space="preserve">Traffic-Induced Event Delays:</w:t>
      </w:r>
      <w:r>
        <w:t xml:space="preserve"> </w:t>
      </w:r>
      <w:r>
        <w:t xml:space="preserve">34% of scheduled town halls experienced &gt;45-minute delays due to CBD congestion (e.g., during the October 12th event near Martin Place). This directly reduced voter turnout by 22%, impacting sales conversion.</w:t>
      </w:r>
      <w:r>
        <w:t xml:space="preserve"> </w:t>
      </w:r>
      <w:r>
        <w:rPr>
          <w:iCs/>
          <w:i/>
        </w:rPr>
        <w:t xml:space="preserve">Solution Implemented: Partnered with Transport for NSW for "Campaign Priority Routes" in election periods.</w:t>
      </w:r>
    </w:p>
    <w:p>
      <w:pPr>
        <w:numPr>
          <w:ilvl w:val="0"/>
          <w:numId w:val="1003"/>
        </w:numPr>
        <w:pStyle w:val="Compact"/>
      </w:pPr>
      <w:r>
        <w:rPr>
          <w:bCs/>
          <w:b/>
        </w:rPr>
        <w:t xml:space="preserve">Policy Overlap:</w:t>
      </w:r>
      <w:r>
        <w:t xml:space="preserve"> </w:t>
      </w:r>
      <w:r>
        <w:t xml:space="preserve">Competing parties' similar housing proposals caused confusion among 18-30-year-old voters (a key demographic).</w:t>
      </w:r>
      <w:r>
        <w:t xml:space="preserve"> </w:t>
      </w:r>
      <w:r>
        <w:rPr>
          <w:iCs/>
          <w:i/>
        </w:rPr>
        <w:t xml:space="preserve">Solution Implemented: Created Sydney-specific policy "product differentiation" through the "Sydney First Housing Guarantee" initiative.</w:t>
      </w:r>
    </w:p>
    <w:bookmarkEnd w:id="24"/>
    <w:bookmarkStart w:id="25" w:name="X81fdf3a8487656641cd7b6b88784745eb852df6"/>
    <w:p>
      <w:pPr>
        <w:pStyle w:val="Heading2"/>
      </w:pPr>
      <w:r>
        <w:t xml:space="preserve">Strategic Recommendations for Future Sales Cycles</w:t>
      </w:r>
    </w:p>
    <w:p>
      <w:pPr>
        <w:pStyle w:val="FirstParagraph"/>
      </w:pPr>
      <w:r>
        <w:t xml:space="preserve">To optimize Politician sales performance in Australia Sydney, we recommend:</w:t>
      </w:r>
    </w:p>
    <w:p>
      <w:pPr>
        <w:numPr>
          <w:ilvl w:val="0"/>
          <w:numId w:val="1004"/>
        </w:numPr>
        <w:pStyle w:val="Compact"/>
      </w:pPr>
      <w:r>
        <w:rPr>
          <w:bCs/>
          <w:b/>
        </w:rPr>
        <w:t xml:space="preserve">Hyper-Local Product Bundling:</w:t>
      </w:r>
      <w:r>
        <w:t xml:space="preserve"> </w:t>
      </w:r>
      <w:r>
        <w:t xml:space="preserve">Create suburb-specific policy "packages" (e.g., "Parramatta Transit + Housing Bundle") instead of generic statewide offers.</w:t>
      </w:r>
    </w:p>
    <w:p>
      <w:pPr>
        <w:numPr>
          <w:ilvl w:val="0"/>
          <w:numId w:val="1004"/>
        </w:numPr>
        <w:pStyle w:val="Compact"/>
      </w:pPr>
      <w:r>
        <w:rPr>
          <w:bCs/>
          <w:b/>
        </w:rPr>
        <w:t xml:space="preserve">Infrastructure-Integrated Events:</w:t>
      </w:r>
      <w:r>
        <w:t xml:space="preserve"> </w:t>
      </w:r>
      <w:r>
        <w:t xml:space="preserve">Schedule all community events around public transport schedules to maximize attendance—critical in Sydney's car-dependent suburbs like Lakemba and Campbelltown.</w:t>
      </w:r>
    </w:p>
    <w:p>
      <w:pPr>
        <w:numPr>
          <w:ilvl w:val="0"/>
          <w:numId w:val="1004"/>
        </w:numPr>
        <w:pStyle w:val="Compact"/>
      </w:pPr>
      <w:r>
        <w:rPr>
          <w:bCs/>
          <w:b/>
        </w:rPr>
        <w:t xml:space="preserve">Real-Time Metric Tracking:</w:t>
      </w:r>
      <w:r>
        <w:t xml:space="preserve"> </w:t>
      </w:r>
      <w:r>
        <w:t xml:space="preserve">Implement digital dashboard showing real-time sales performance per suburb—enabling rapid strategy pivots during campaign events.</w:t>
      </w:r>
    </w:p>
    <w:bookmarkEnd w:id="25"/>
    <w:bookmarkStart w:id="26" w:name="conclusion-the-sydney-imperative"/>
    <w:p>
      <w:pPr>
        <w:pStyle w:val="Heading2"/>
      </w:pPr>
      <w:r>
        <w:t xml:space="preserve">Conclusion: The Sydney Imperative</w:t>
      </w:r>
    </w:p>
    <w:p>
      <w:pPr>
        <w:pStyle w:val="FirstParagraph"/>
      </w:pPr>
      <w:r>
        <w:t xml:space="preserve">This Sales Report confirms Australia Sydney is not merely a market—it's the political bellwether for the entire nation. With its unique blend of urban complexity, cultural diversity, and high voter expectations, success here defines a Politician's national trajectory. The 34% growth in voter conversion rates demonstrates that when campaign strategies are tailored to Sydney's specific needs (not generic Australian messaging), sales outcomes dramatically improve. As demonstrated by the Politician's recent housing policy adoption surge, the key to winning Sydney isn't just selling promises—it's proving tangible value through locally relevant action. Future cycles must deepen this hyper-local approach; failure to adapt will result in lost sales across Australia's most critical political market.</w:t>
      </w:r>
    </w:p>
    <w:p>
      <w:pPr>
        <w:pStyle w:val="BodyText"/>
      </w:pPr>
      <w:r>
        <w:rPr>
          <w:bCs/>
          <w:b/>
        </w:rPr>
        <w:t xml:space="preserve">Prepared By:</w:t>
      </w:r>
      <w:r>
        <w:t xml:space="preserve"> </w:t>
      </w:r>
      <w:r>
        <w:t xml:space="preserve">Strategy Analytics Division |</w:t>
      </w:r>
      <w:r>
        <w:t xml:space="preserve"> </w:t>
      </w:r>
      <w:r>
        <w:rPr>
          <w:bCs/>
          <w:b/>
        </w:rPr>
        <w:t xml:space="preserve">NSW Political Campaign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Sales Report: Political Campaign Performance Analysis</dc:title>
  <dc:creator/>
  <dc:language>en</dc:language>
  <cp:keywords/>
  <dcterms:created xsi:type="dcterms:W3CDTF">2026-07-23T20:12:00Z</dcterms:created>
  <dcterms:modified xsi:type="dcterms:W3CDTF">2026-07-23T20:12:00Z</dcterms:modified>
</cp:coreProperties>
</file>

<file path=docProps/custom.xml><?xml version="1.0" encoding="utf-8"?>
<Properties xmlns="http://schemas.openxmlformats.org/officeDocument/2006/custom-properties" xmlns:vt="http://schemas.openxmlformats.org/officeDocument/2006/docPropsVTypes"/>
</file>