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Belgium</w:t>
      </w:r>
      <w:r>
        <w:t xml:space="preserve"> </w:t>
      </w:r>
      <w:r>
        <w:t xml:space="preserve">Brussels</w:t>
      </w:r>
      <w:r>
        <w:t xml:space="preserve"> </w:t>
      </w:r>
      <w:r>
        <w:t xml:space="preserve">Political</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d5b49a053e3f2accf13acd74ba2ff41a744d90a"/>
    <w:p>
      <w:pPr>
        <w:pStyle w:val="Heading1"/>
      </w:pPr>
      <w:r>
        <w:t xml:space="preserve">Comprehensive Sales Report: Political Engagement Services in Belgium Brussels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Brussels-based Political Advisory Firm</w:t>
      </w:r>
      <w:r>
        <w:br/>
      </w:r>
      <w:r>
        <w:rPr>
          <w:bCs/>
          <w:b/>
        </w:rPr>
        <w:t xml:space="preserve">Prepared By:</w:t>
      </w:r>
      <w:r>
        <w:t xml:space="preserve"> </w:t>
      </w:r>
      <w:r>
        <w:t xml:space="preserve">Sales Strategy Division, Europa Insights Group</w:t>
      </w:r>
    </w:p>
    <w:bookmarkStart w:id="20" w:name="i.-executive-summary"/>
    <w:p>
      <w:pPr>
        <w:pStyle w:val="Heading2"/>
      </w:pPr>
      <w:r>
        <w:t xml:space="preserve">I. Executive Summary</w:t>
      </w:r>
    </w:p>
    <w:p>
      <w:pPr>
        <w:pStyle w:val="FirstParagraph"/>
      </w:pPr>
      <w:r>
        <w:t xml:space="preserve">This Sales Report details Q3 2023 performance of political engagement services targeting key stakeholders in Belgium Brussels. As the political heart of the European Union, Belgium Brussels represents an unparalleled market where every interaction with a politician carries strategic significance. Our sales team achieved 112% of quarterly targets, securing €1.87M in new contracts primarily through tailored solutions for Belgian federal politicians and EU institutional representatives. The success underscores our specialized approach to political sales cycles unique to the Belgium Brussels ecosystem.</w:t>
      </w:r>
    </w:p>
    <w:bookmarkEnd w:id="20"/>
    <w:bookmarkStart w:id="21" w:name="X7bb6f433e0b41336a57e8c7410024093d93943d"/>
    <w:p>
      <w:pPr>
        <w:pStyle w:val="Heading2"/>
      </w:pPr>
      <w:r>
        <w:t xml:space="preserve">II. Market Context: Why Belgium Brussels Demands Specialized Sales Strategies</w:t>
      </w:r>
    </w:p>
    <w:p>
      <w:pPr>
        <w:pStyle w:val="FirstParagraph"/>
      </w:pPr>
      <w:r>
        <w:t xml:space="preserve">Belgium Brussels operates as a geopolitical nexus where national politics collides with EU governance daily. Unlike conventional sales environments, engaging a Belgian politician requires understanding the complex interplay of Flemish/Walloon dynamics, European Commission procedures, and parliamentary committee structures. Our Q3 analysis confirms that 87% of successful sales opportunities originated from relationships built through sector-specific political engagement—proving that generic sales tactics fail in this ecosystem. The critical insight is that in Belgium Brussels, a "politician" isn't just a client; they're the architect of policy landscapes affecting 450+ EU initiatives.</w:t>
      </w:r>
    </w:p>
    <w:bookmarkEnd w:id="21"/>
    <w:bookmarkStart w:id="22" w:name="iii.-q3-sales-performance-highlights"/>
    <w:p>
      <w:pPr>
        <w:pStyle w:val="Heading2"/>
      </w:pPr>
      <w:r>
        <w:t xml:space="preserve">III. Q3 Sales Performance Highlights</w:t>
      </w:r>
    </w:p>
    <w:p>
      <w:pPr>
        <w:pStyle w:val="FirstParagraph"/>
      </w:pPr>
      <w:r>
        <w:rPr>
          <w:bCs/>
          <w:b/>
        </w:rPr>
        <w:t xml:space="preserve">Revenue Growth:</w:t>
      </w:r>
      <w:r>
        <w:t xml:space="preserve"> </w:t>
      </w:r>
      <w:r>
        <w:t xml:space="preserve">€1.87M (vs. €1.67M Q2), driven by three major contracts with Belgian federal parties and an EU parliamentary group.</w:t>
      </w:r>
    </w:p>
    <w:p>
      <w:pPr>
        <w:pStyle w:val="BodyText"/>
      </w:pPr>
      <w:r>
        <w:rPr>
          <w:bCs/>
          <w:b/>
        </w:rPr>
        <w:t xml:space="preserve">Key Accounts Secured:</w:t>
      </w:r>
    </w:p>
    <w:p>
      <w:pPr>
        <w:numPr>
          <w:ilvl w:val="0"/>
          <w:numId w:val="1001"/>
        </w:numPr>
        <w:pStyle w:val="Compact"/>
      </w:pPr>
      <w:r>
        <w:rPr>
          <w:iCs/>
          <w:i/>
        </w:rPr>
        <w:t xml:space="preserve">Flemish Liberal Party (Vlaams Liberale Partij):</w:t>
      </w:r>
      <w:r>
        <w:t xml:space="preserve"> </w:t>
      </w:r>
      <w:r>
        <w:t xml:space="preserve">€450K contract for digital engagement platform targeting youth voter segments. This solution directly addresses the politician's need to counter rising far-right influence in Flanders.</w:t>
      </w:r>
    </w:p>
    <w:p>
      <w:pPr>
        <w:numPr>
          <w:ilvl w:val="0"/>
          <w:numId w:val="1001"/>
        </w:numPr>
        <w:pStyle w:val="Compact"/>
      </w:pPr>
      <w:r>
        <w:rPr>
          <w:iCs/>
          <w:i/>
        </w:rPr>
        <w:t xml:space="preserve">European Parliament Committee on Foreign Affairs:</w:t>
      </w:r>
      <w:r>
        <w:t xml:space="preserve"> </w:t>
      </w:r>
      <w:r>
        <w:t xml:space="preserve">€620K mandate for AI-driven policy impact analysis. Our tool helps this EU-level politician evaluate legislative proposals across 27 member states in real-time.</w:t>
      </w:r>
    </w:p>
    <w:p>
      <w:pPr>
        <w:numPr>
          <w:ilvl w:val="0"/>
          <w:numId w:val="1001"/>
        </w:numPr>
        <w:pStyle w:val="Compact"/>
      </w:pPr>
      <w:r>
        <w:rPr>
          <w:iCs/>
          <w:i/>
        </w:rPr>
        <w:t xml:space="preserve">Brussels City Council (SP.A Party):</w:t>
      </w:r>
      <w:r>
        <w:t xml:space="preserve"> </w:t>
      </w:r>
      <w:r>
        <w:t xml:space="preserve">€385K smart-city analytics package to optimize municipal services based on citizen data—critical for the mayor's re-election strategy.</w:t>
      </w:r>
    </w:p>
    <w:p>
      <w:pPr>
        <w:pStyle w:val="FirstParagraph"/>
      </w:pPr>
      <w:r>
        <w:rPr>
          <w:bCs/>
          <w:b/>
        </w:rPr>
        <w:t xml:space="preserve">Sales Cycle Transformation:</w:t>
      </w:r>
      <w:r>
        <w:t xml:space="preserve"> </w:t>
      </w:r>
      <w:r>
        <w:t xml:space="preserve">Average deal duration decreased by 22% through our "Politician Journey Mapping" methodology. This framework identifies decision-making timelines specific to Belgium Brussels politics (e.g., aligning with committee meeting schedules, coalition negotiation windows).</w:t>
      </w:r>
    </w:p>
    <w:bookmarkEnd w:id="22"/>
    <w:bookmarkStart w:id="26" w:name="X8f6991414f2dfc8d94a7aca88f465d6c313ade8"/>
    <w:p>
      <w:pPr>
        <w:pStyle w:val="Heading2"/>
      </w:pPr>
      <w:r>
        <w:t xml:space="preserve">IV. Critical Success Factors in Belgium Brussels Political Sales</w:t>
      </w:r>
    </w:p>
    <w:p>
      <w:pPr>
        <w:pStyle w:val="FirstParagraph"/>
      </w:pPr>
      <w:r>
        <w:t xml:space="preserve">The following elements proved indispensable for closing deals with Belgian politicians this quarter:</w:t>
      </w:r>
    </w:p>
    <w:bookmarkStart w:id="23" w:name="Xa57750db5fe6ecef081ff511e652f78c8b90eaa"/>
    <w:p>
      <w:pPr>
        <w:pStyle w:val="Heading3"/>
      </w:pPr>
      <w:r>
        <w:t xml:space="preserve">A. Cultural Intelligence Over Transactional Approach</w:t>
      </w:r>
    </w:p>
    <w:p>
      <w:pPr>
        <w:pStyle w:val="FirstParagraph"/>
      </w:pPr>
      <w:r>
        <w:t xml:space="preserve">In Belgium Brussels, sales must transcend traditional pitch tactics. We observed that 94% of politician decisions hinged on understanding regional sensitivities. Example: When selling to the Walloon government, our team included historical context of Franco-Belgian relations in presentations—proving we respect their political narrative beyond mere service delivery.</w:t>
      </w:r>
    </w:p>
    <w:bookmarkEnd w:id="23"/>
    <w:bookmarkStart w:id="24" w:name="X6fd07235b6b2f2e8ca911b24046d2b52d1805b7"/>
    <w:p>
      <w:pPr>
        <w:pStyle w:val="Heading3"/>
      </w:pPr>
      <w:r>
        <w:t xml:space="preserve">B. EU Regulatory Fluency as a Sales Catalyst</w:t>
      </w:r>
    </w:p>
    <w:p>
      <w:pPr>
        <w:pStyle w:val="FirstParagraph"/>
      </w:pPr>
      <w:r>
        <w:t xml:space="preserve">A core differentiator was our staff's mastery of EU regulatory frameworks (e.g., GDPR amendments, Digital Markets Act). When presenting to a Belgian politician facing EU compliance deadlines, our solution was framed around "mitigating Article 16 penalties"—a language the politician immediately recognized as valuable.</w:t>
      </w:r>
    </w:p>
    <w:bookmarkEnd w:id="24"/>
    <w:bookmarkStart w:id="25" w:name="X7c943895db2bea9bd0ea7760656d636094aa2fd"/>
    <w:p>
      <w:pPr>
        <w:pStyle w:val="Heading3"/>
      </w:pPr>
      <w:r>
        <w:t xml:space="preserve">C. Trust-Building Through Non-Transactional Touchpoints</w:t>
      </w:r>
    </w:p>
    <w:p>
      <w:pPr>
        <w:pStyle w:val="FirstParagraph"/>
      </w:pPr>
      <w:r>
        <w:t xml:space="preserve">Unlike standard sales cycles, we scheduled 75% of initial meetings at non-business venues: Leuven University policy forums, EU Commission think-tank breakfasts. These organic interactions built credibility before any service discussion—a critical nuance for politicians wary of commercial overtures.</w:t>
      </w:r>
    </w:p>
    <w:bookmarkEnd w:id="25"/>
    <w:bookmarkEnd w:id="26"/>
    <w:bookmarkStart w:id="27" w:name="v.-challenges-and-strategic-adjustments"/>
    <w:p>
      <w:pPr>
        <w:pStyle w:val="Heading2"/>
      </w:pPr>
      <w:r>
        <w:t xml:space="preserve">V. Challenges and Strategic Adjustments</w:t>
      </w:r>
    </w:p>
    <w:p>
      <w:pPr>
        <w:pStyle w:val="FirstParagraph"/>
      </w:pPr>
      <w:r>
        <w:rPr>
          <w:bCs/>
          <w:b/>
        </w:rPr>
        <w:t xml:space="preserve">Challenge 1: Fragmented Decision-Making in Belgium's Political System</w:t>
      </w:r>
    </w:p>
    <w:p>
      <w:pPr>
        <w:pStyle w:val="BodyText"/>
      </w:pPr>
      <w:r>
        <w:t xml:space="preserve">Belgian politics requires consensus across federal, regional (Flanders/Wallonia), and EU levels. In Q3, a €500K healthcare contract nearly collapsed when the Walloon minister delayed approval pending Flemish agreement. Our solution: Developed a "Multi-Stakeholder Alignment Protocol" that now standardizes cross-regional engagement timelines.</w:t>
      </w:r>
    </w:p>
    <w:p>
      <w:pPr>
        <w:pStyle w:val="BodyText"/>
      </w:pPr>
      <w:r>
        <w:rPr>
          <w:bCs/>
          <w:b/>
        </w:rPr>
        <w:t xml:space="preserve">Challenge 2: Post-Election Political Uncertainty</w:t>
      </w:r>
    </w:p>
    <w:p>
      <w:pPr>
        <w:pStyle w:val="BodyText"/>
      </w:pPr>
      <w:r>
        <w:t xml:space="preserve">The September regional elections created hesitation among politicians to commit to new services. We countered by offering phased contracts (e.g., 3-month pilot at 40% cost) to reduce perceived risk—resulting in a 19% increase in trial conversions.</w:t>
      </w:r>
    </w:p>
    <w:bookmarkEnd w:id="27"/>
    <w:bookmarkStart w:id="28" w:name="Xf8b31dd06dea0039b3d3fd1f4c7d56876dd4a33"/>
    <w:p>
      <w:pPr>
        <w:pStyle w:val="Heading2"/>
      </w:pPr>
      <w:r>
        <w:t xml:space="preserve">VI. Belgium Brussels-Specific Sales Metrics</w:t>
      </w:r>
    </w:p>
    <w:p>
      <w:pPr>
        <w:pStyle w:val="FirstParagraph"/>
      </w:pPr>
      <w:r>
        <w:t xml:space="preserve">Key Metric</w:t>
      </w:r>
    </w:p>
    <w:p>
      <w:pPr>
        <w:pStyle w:val="BodyText"/>
      </w:pPr>
      <w:r>
        <w:t xml:space="preserve">Q3 2023</w:t>
      </w:r>
    </w:p>
    <w:p>
      <w:pPr>
        <w:pStyle w:val="BodyText"/>
      </w:pPr>
      <w:r>
        <w:t xml:space="preserve">Prior Quarter</w:t>
      </w:r>
    </w:p>
    <w:p>
      <w:pPr>
        <w:pStyle w:val="BodyText"/>
      </w:pPr>
      <w:r>
        <w:t xml:space="preserve">YoY Change</w:t>
      </w:r>
    </w:p>
    <w:p>
      <w:pPr>
        <w:pStyle w:val="BodyText"/>
      </w:pPr>
      <w:r>
        <w:t xml:space="preserve">Deal Closure Rate (Belgian Politician Clients)</w:t>
      </w:r>
    </w:p>
    <w:p>
      <w:pPr>
        <w:pStyle w:val="BodyText"/>
      </w:pPr>
      <w:r>
        <w:t xml:space="preserve">78%</w:t>
      </w:r>
    </w:p>
    <w:p>
      <w:pPr>
        <w:pStyle w:val="BodyText"/>
      </w:pPr>
      <w:r>
        <w:t xml:space="preserve">65%</w:t>
      </w:r>
    </w:p>
    <w:p>
      <w:pPr>
        <w:pStyle w:val="BodyText"/>
      </w:pPr>
      <w:r>
        <w:t xml:space="preserve">+13 pts</w:t>
      </w:r>
    </w:p>
    <w:p>
      <w:pPr>
        <w:pStyle w:val="BodyText"/>
      </w:pPr>
      <w:r>
        <w:t xml:space="preserve">Average Contract Value (EU-level Politicians)</w:t>
      </w:r>
    </w:p>
    <w:p>
      <w:pPr>
        <w:pStyle w:val="BodyText"/>
      </w:pPr>
      <w:r>
        <w:t xml:space="preserve">€412K</w:t>
      </w:r>
    </w:p>
    <w:p>
      <w:pPr>
        <w:pStyle w:val="BodyText"/>
      </w:pPr>
      <w:r>
        <w:t xml:space="preserve">€378K</w:t>
      </w:r>
    </w:p>
    <w:p>
      <w:pPr>
        <w:pStyle w:val="BodyText"/>
      </w:pPr>
      <w:r>
        <w:t xml:space="preserve">+9.0%</w:t>
      </w:r>
    </w:p>
    <w:p>
      <w:pPr>
        <w:pStyle w:val="BodyText"/>
      </w:pPr>
      <w:r>
        <w:t xml:space="preserve">Sales Cycle Efficiency (Belgian Federal Level)</w:t>
      </w:r>
    </w:p>
    <w:p>
      <w:pPr>
        <w:pStyle w:val="BodyText"/>
      </w:pPr>
      <w:r>
        <w:t xml:space="preserve">Days to Close</w:t>
      </w:r>
    </w:p>
    <w:p>
      <w:pPr>
        <w:pStyle w:val="BodyText"/>
      </w:pPr>
      <w:r>
        <w:t xml:space="preserve">56 days</w:t>
      </w:r>
    </w:p>
    <w:p>
      <w:pPr>
        <w:pStyle w:val="BodyText"/>
      </w:pPr>
      <w:r>
        <w:t xml:space="preserve">72 days</w:t>
      </w:r>
    </w:p>
    <w:p>
      <w:pPr>
        <w:pStyle w:val="BodyText"/>
      </w:pPr>
      <w:r>
        <w:t xml:space="preserve">-22.2%</w:t>
      </w:r>
    </w:p>
    <w:bookmarkEnd w:id="28"/>
    <w:bookmarkStart w:id="29" w:name="X73d355e34fb3ebefb8d727b3d56aa98eb146af2"/>
    <w:p>
      <w:pPr>
        <w:pStyle w:val="Heading2"/>
      </w:pPr>
      <w:r>
        <w:t xml:space="preserve">VII. Strategic Recommendations for Q4 2023</w:t>
      </w:r>
    </w:p>
    <w:p>
      <w:pPr>
        <w:pStyle w:val="FirstParagraph"/>
      </w:pPr>
      <w:r>
        <w:t xml:space="preserve">Based on Belgium Brussels market dynamics, we propose:</w:t>
      </w:r>
    </w:p>
    <w:p>
      <w:pPr>
        <w:numPr>
          <w:ilvl w:val="0"/>
          <w:numId w:val="1002"/>
        </w:numPr>
        <w:pStyle w:val="Compact"/>
      </w:pPr>
      <w:r>
        <w:rPr>
          <w:bCs/>
          <w:b/>
        </w:rPr>
        <w:t xml:space="preserve">Expand "Coalition Intelligence" Service:</w:t>
      </w:r>
      <w:r>
        <w:t xml:space="preserve"> </w:t>
      </w:r>
      <w:r>
        <w:t xml:space="preserve">Develop predictive analytics for Belgian federal coalition negotiations (targeting 15+ parties before December elections).</w:t>
      </w:r>
    </w:p>
    <w:p>
      <w:pPr>
        <w:numPr>
          <w:ilvl w:val="0"/>
          <w:numId w:val="1002"/>
        </w:numPr>
        <w:pStyle w:val="Compact"/>
      </w:pPr>
      <w:r>
        <w:rPr>
          <w:bCs/>
          <w:b/>
        </w:rPr>
        <w:t xml:space="preserve">Leverage EU-Brussels Infrastructure:</w:t>
      </w:r>
      <w:r>
        <w:t xml:space="preserve"> </w:t>
      </w:r>
      <w:r>
        <w:t xml:space="preserve">Partner with European Policy Institutes to co-host events—proven to accelerate politician engagement by 37%.</w:t>
      </w:r>
    </w:p>
    <w:p>
      <w:pPr>
        <w:numPr>
          <w:ilvl w:val="0"/>
          <w:numId w:val="1002"/>
        </w:numPr>
        <w:pStyle w:val="Compact"/>
      </w:pPr>
      <w:r>
        <w:rPr>
          <w:bCs/>
          <w:b/>
        </w:rPr>
        <w:t xml:space="preserve">Specialize in Language-Specific Solutions:</w:t>
      </w:r>
      <w:r>
        <w:t xml:space="preserve"> </w:t>
      </w:r>
      <w:r>
        <w:t xml:space="preserve">Create French-Dutch bilingual political dashboards, addressing a critical gap identified in 62% of Q3 client feedback.</w:t>
      </w:r>
    </w:p>
    <w:bookmarkEnd w:id="29"/>
    <w:bookmarkStart w:id="30" w:name="X1da3e45bf4dce334dc784df1ca5193adb7eaf40"/>
    <w:p>
      <w:pPr>
        <w:pStyle w:val="Heading2"/>
      </w:pPr>
      <w:r>
        <w:t xml:space="preserve">VIII. Conclusion: The Uniqueness of Politics Sales in Belgium Brussels</w:t>
      </w:r>
    </w:p>
    <w:p>
      <w:pPr>
        <w:pStyle w:val="FirstParagraph"/>
      </w:pPr>
      <w:r>
        <w:t xml:space="preserve">This Q3 report reinforces that selling to politicians in Belgium Brussels is fundamentally different from standard sales models. The term "politician" here represents a complex nexus of policy influence, regional identity, and EU regulatory pressure—requiring solutions engineered for this environment. Our 112% target achievement demonstrates that when sales strategy aligns with the unique rhythms of Belgium Brussels politics, exceptional results follow.</w:t>
      </w:r>
    </w:p>
    <w:p>
      <w:pPr>
        <w:pStyle w:val="BodyText"/>
      </w:pPr>
      <w:r>
        <w:t xml:space="preserve">As we enter Q4 amidst Belgium's pivotal election period and ongoing EU policy debates, our sales team will deepen its specialization in Belgian political micro-landscapes. The key insight remains: In a city where every politician shapes Europe's future, your sales approach must mirror that gravity. We are not selling services; we are enabling political leadership within the world's most complex governance ecosystem.</w:t>
      </w:r>
    </w:p>
    <w:p>
      <w:pPr>
        <w:pStyle w:val="BodyText"/>
      </w:pPr>
      <w:r>
        <w:rPr>
          <w:bCs/>
          <w:b/>
        </w:rPr>
        <w:t xml:space="preserve">Prepared by:</w:t>
      </w:r>
      <w:r>
        <w:t xml:space="preserve"> </w:t>
      </w:r>
      <w:r>
        <w:t xml:space="preserve">Maria Dubois, Director of Political Sales Strategy</w:t>
      </w:r>
      <w:r>
        <w:br/>
      </w:r>
      <w:r>
        <w:rPr>
          <w:bCs/>
          <w:b/>
        </w:rPr>
        <w:t xml:space="preserve">Europa Insights Group</w:t>
      </w:r>
      <w:r>
        <w:br/>
      </w:r>
      <w:r>
        <w:rPr>
          <w:iCs/>
          <w:i/>
        </w:rPr>
        <w:t xml:space="preserve">Serving Belgium Brussels Politics Since 2008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Belgium Brussels Political Sales Report - Q3 2023</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