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2024</w:t>
      </w:r>
    </w:p>
    <w:bookmarkStart w:id="32" w:name="Xf0be569455abed8034513d5c2bab942aec74da8"/>
    <w:p>
      <w:pPr>
        <w:pStyle w:val="Heading1"/>
      </w:pPr>
      <w:r>
        <w:t xml:space="preserve">Annual Political Campaign Sales Performance Report: Montreal, Canada</w:t>
      </w:r>
    </w:p>
    <w:bookmarkStart w:id="31" w:name="X8ee536a0885f6dfeadbe47799c15a6a520e9955"/>
    <w:p>
      <w:pPr>
        <w:pStyle w:val="Heading2"/>
      </w:pPr>
      <w:r>
        <w:t xml:space="preserve">Prepared for the Montreal Political Advisory Board | Q3 2024</w:t>
      </w:r>
    </w:p>
    <w:p>
      <w:pPr>
        <w:pStyle w:val="FirstParagraph"/>
      </w:pPr>
      <w:r>
        <w:rPr>
          <w:bCs/>
          <w:b/>
        </w:rPr>
        <w:t xml:space="preserve">Date:</w:t>
      </w:r>
      <w:r>
        <w:t xml:space="preserve"> </w:t>
      </w:r>
      <w:r>
        <w:t xml:space="preserve">October 5, 2024</w:t>
      </w:r>
      <w:r>
        <w:br/>
      </w:r>
      <w:r>
        <w:rPr>
          <w:bCs/>
          <w:b/>
        </w:rPr>
        <w:t xml:space="preserve">Report Period:</w:t>
      </w:r>
      <w:r>
        <w:t xml:space="preserve"> </w:t>
      </w:r>
      <w:r>
        <w:t xml:space="preserve">July 1 - September 30, 2024</w:t>
      </w:r>
      <w:r>
        <w:br/>
      </w:r>
      <w:r>
        <w:rPr>
          <w:bCs/>
          <w:b/>
        </w:rPr>
        <w:t xml:space="preserve">Prepared By:</w:t>
      </w:r>
      <w:r>
        <w:t xml:space="preserve"> </w:t>
      </w:r>
      <w:r>
        <w:t xml:space="preserve">Strategic Campaign Analytics Division, Canada Montreal Office</w:t>
      </w:r>
    </w:p>
    <w:bookmarkStart w:id="20" w:name="Xde02c5ca086386196898ffed420c744a97dc3c2"/>
    <w:p>
      <w:pPr>
        <w:pStyle w:val="Heading3"/>
      </w:pPr>
      <w:r>
        <w:t xml:space="preserve">I. Executive Summary: The Montreal Political Sales Landscape</w:t>
      </w:r>
    </w:p>
    <w:p>
      <w:pPr>
        <w:pStyle w:val="FirstParagraph"/>
      </w:pPr>
      <w:r>
        <w:t xml:space="preserve">This comprehensive Sales Report details the campaign performance metrics of our endorsed Politician in the critical Quebec municipal election cycle. As we approach the October 2024 municipal elections across Canada's largest city, Montreal, our data confirms a remarkable 68% growth in voter engagement compared to previous campaigns. This surge validates our tailored sales strategy for Quebec's unique political marketplace. The report demonstrates how strategic voter conversion tactics—rebranded as "political product sales" within the Canada Montreal context—have positioned our Politician at the forefront of the electoral race.</w:t>
      </w:r>
    </w:p>
    <w:bookmarkEnd w:id="20"/>
    <w:bookmarkStart w:id="21" w:name="X0d2e0dd6f7151855a70fffff615cd8c385f706f"/>
    <w:p>
      <w:pPr>
        <w:pStyle w:val="Heading3"/>
      </w:pPr>
      <w:r>
        <w:t xml:space="preserve">II. Market Analysis: The Montreal Voter Sales Territory</w:t>
      </w:r>
    </w:p>
    <w:p>
      <w:pPr>
        <w:pStyle w:val="FirstParagraph"/>
      </w:pPr>
      <w:r>
        <w:t xml:space="preserve">Montreal represents Canada's most complex political sales territory, with its 42 boroughs demanding hyper-localized engagement. Our analysis confirms that voter acquisition rates in Montreal outpace national averages by 34%, but require nuanced approaches due to linguistic (French/English) and cultural segmentation. Key market insights include:</w:t>
      </w:r>
    </w:p>
    <w:p>
      <w:pPr>
        <w:numPr>
          <w:ilvl w:val="0"/>
          <w:numId w:val="1001"/>
        </w:numPr>
        <w:pStyle w:val="Compact"/>
      </w:pPr>
      <w:r>
        <w:rPr>
          <w:bCs/>
          <w:b/>
        </w:rPr>
        <w:t xml:space="preserve">Demographic Targeting:</w:t>
      </w:r>
      <w:r>
        <w:t xml:space="preserve"> </w:t>
      </w:r>
      <w:r>
        <w:t xml:space="preserve">72% of new voters acquired in Plateau-Mont-Royal and Côte-des-Neiges districts responded favorably to bilingual policy pitches</w:t>
      </w:r>
    </w:p>
    <w:p>
      <w:pPr>
        <w:numPr>
          <w:ilvl w:val="0"/>
          <w:numId w:val="1001"/>
        </w:numPr>
        <w:pStyle w:val="Compact"/>
      </w:pPr>
      <w:r>
        <w:rPr>
          <w:bCs/>
          <w:b/>
        </w:rPr>
        <w:t xml:space="preserve">Competitive Void:</w:t>
      </w:r>
      <w:r>
        <w:t xml:space="preserve"> </w:t>
      </w:r>
      <w:r>
        <w:t xml:space="preserve">Only 43% of Montreal electors felt current Politicians addressed transit affordability—our campaign captured 61% of this underserved segment</w:t>
      </w:r>
    </w:p>
    <w:p>
      <w:pPr>
        <w:numPr>
          <w:ilvl w:val="0"/>
          <w:numId w:val="1001"/>
        </w:numPr>
        <w:pStyle w:val="Compact"/>
      </w:pPr>
      <w:r>
        <w:rPr>
          <w:bCs/>
          <w:b/>
        </w:rPr>
        <w:t xml:space="preserve">Cultural Resonance:</w:t>
      </w:r>
      <w:r>
        <w:t xml:space="preserve"> </w:t>
      </w:r>
      <w:r>
        <w:t xml:space="preserve">Voter conversion rates increased 28% after incorporating local cultural touchpoints (e.g., Saint-Laurent Boulevard community events)</w:t>
      </w:r>
    </w:p>
    <w:bookmarkEnd w:id="21"/>
    <w:bookmarkStart w:id="22" w:name="Xca5d087edee82c380f45657049da0a875647f19"/>
    <w:p>
      <w:pPr>
        <w:pStyle w:val="Heading3"/>
      </w:pPr>
      <w:r>
        <w:t xml:space="preserve">III. Sales Strategy: The Politician as Premium Political Product</w:t>
      </w:r>
    </w:p>
    <w:p>
      <w:pPr>
        <w:pStyle w:val="FirstParagraph"/>
      </w:pPr>
      <w:r>
        <w:t xml:space="preserve">We've repositioned our Politician as a premium "political solution" addressing Montreal's top pain points. This sales framework prioritizes:</w:t>
      </w:r>
    </w:p>
    <w:p>
      <w:pPr>
        <w:numPr>
          <w:ilvl w:val="0"/>
          <w:numId w:val="1002"/>
        </w:numPr>
        <w:pStyle w:val="Compact"/>
      </w:pPr>
      <w:r>
        <w:rPr>
          <w:bCs/>
          <w:b/>
        </w:rPr>
        <w:t xml:space="preserve">Value Proposition:</w:t>
      </w:r>
      <w:r>
        <w:t xml:space="preserve"> </w:t>
      </w:r>
      <w:r>
        <w:t xml:space="preserve">"Affordable Housing &amp; Sustainable Transit: Montreal's Only 100% Quebec-Sourced Solution"</w:t>
      </w:r>
    </w:p>
    <w:p>
      <w:pPr>
        <w:numPr>
          <w:ilvl w:val="0"/>
          <w:numId w:val="1002"/>
        </w:numPr>
        <w:pStyle w:val="Compact"/>
      </w:pPr>
      <w:r>
        <w:rPr>
          <w:bCs/>
          <w:b/>
        </w:rPr>
        <w:t xml:space="preserve">Sales Channels:</w:t>
      </w:r>
      <w:r>
        <w:t xml:space="preserve"> </w:t>
      </w:r>
      <w:r>
        <w:t xml:space="preserve">Digital (65% of conversions), community pop-ups (23%), and door-knocking in high-potential neighborhoods</w:t>
      </w:r>
    </w:p>
    <w:p>
      <w:pPr>
        <w:numPr>
          <w:ilvl w:val="0"/>
          <w:numId w:val="1002"/>
        </w:numPr>
        <w:pStyle w:val="Compact"/>
      </w:pPr>
      <w:r>
        <w:rPr>
          <w:bCs/>
          <w:b/>
        </w:rPr>
        <w:t xml:space="preserve">Objection Handling:</w:t>
      </w:r>
      <w:r>
        <w:t xml:space="preserve"> </w:t>
      </w:r>
      <w:r>
        <w:t xml:space="preserve">Dedicated "Policy Clinic" sessions addressing voter concerns about French language requirements and municipal funding</w:t>
      </w:r>
    </w:p>
    <w:p>
      <w:pPr>
        <w:pStyle w:val="FirstParagraph"/>
      </w:pPr>
      <w:r>
        <w:t xml:space="preserve">This approach generated a 47% higher lead-to-vote conversion rate versus previous campaigns, proving Montreal's electorate responds to transparent political product demonstrations.</w:t>
      </w:r>
    </w:p>
    <w:bookmarkEnd w:id="22"/>
    <w:bookmarkStart w:id="23" w:name="iv.-performance-metrics-q3-sales-results"/>
    <w:p>
      <w:pPr>
        <w:pStyle w:val="Heading3"/>
      </w:pPr>
      <w:r>
        <w:t xml:space="preserve">IV. Performance Metrics: Q3 Sales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Metric</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 Change</w:t>
            </w:r>
          </w:p>
        </w:tc>
        <w:tc>
          <w:tcPr/>
          <w:p>
            <w:pPr>
              <w:pStyle w:val="Compact"/>
            </w:pPr>
          </w:p>
        </w:tc>
      </w:tr>
      <w:tr>
        <w:tc>
          <w:tcPr/>
          <w:p>
            <w:pPr>
              <w:pStyle w:val="Compact"/>
              <w:jc w:val="left"/>
            </w:pPr>
            <w:r>
              <w:t xml:space="preserve">Voter Leads Generated (Montreal)</w:t>
            </w:r>
          </w:p>
        </w:tc>
        <w:tc>
          <w:tcPr/>
          <w:p>
            <w:pPr>
              <w:pStyle w:val="Compact"/>
              <w:jc w:val="left"/>
            </w:pPr>
            <w:r>
              <w:t xml:space="preserve">18,350</w:t>
            </w:r>
          </w:p>
        </w:tc>
        <w:tc>
          <w:tcPr/>
          <w:p>
            <w:pPr>
              <w:pStyle w:val="Compact"/>
              <w:jc w:val="left"/>
            </w:pPr>
            <w:r>
              <w:t xml:space="preserve">37,612</w:t>
            </w:r>
          </w:p>
        </w:tc>
        <w:tc>
          <w:tcPr/>
          <w:p>
            <w:pPr>
              <w:pStyle w:val="Compact"/>
              <w:jc w:val="left"/>
            </w:pPr>
            <w:r>
              <w:t xml:space="preserve">+105%</w:t>
            </w:r>
          </w:p>
        </w:tc>
        <w:tc>
          <w:tcPr/>
          <w:p>
            <w:pPr>
              <w:pStyle w:val="Compact"/>
            </w:pPr>
          </w:p>
        </w:tc>
      </w:tr>
      <w:tr>
        <w:tc>
          <w:tcPr/>
          <w:p>
            <w:pPr>
              <w:pStyle w:val="Compact"/>
              <w:jc w:val="left"/>
            </w:pPr>
            <w:r>
              <w:t xml:space="preserve">Bilingual Engagement Rate</w:t>
            </w:r>
          </w:p>
        </w:tc>
        <w:tc>
          <w:tcPr/>
          <w:p>
            <w:pPr>
              <w:pStyle w:val="Compact"/>
              <w:jc w:val="left"/>
            </w:pPr>
            <w:r>
              <w:t xml:space="preserve">54%</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Voter Leads Generated (Montreal)</w:t>
            </w:r>
          </w:p>
        </w:tc>
        <w:tc>
          <w:tcPr/>
          <w:p>
            <w:pPr>
              <w:pStyle w:val="Compact"/>
              <w:jc w:val="left"/>
            </w:pPr>
            <w:r>
              <w:t xml:space="preserve">18,350</w:t>
            </w:r>
          </w:p>
        </w:tc>
        <w:tc>
          <w:tcPr/>
          <w:p>
            <w:pPr>
              <w:pStyle w:val="Compact"/>
              <w:jc w:val="left"/>
            </w:pPr>
            <w:r>
              <w:t xml:space="preserve">37,612</w:t>
            </w:r>
          </w:p>
        </w:tc>
        <w:tc>
          <w:tcPr/>
          <w:p>
            <w:pPr>
              <w:pStyle w:val="Compact"/>
              <w:jc w:val="left"/>
            </w:pPr>
            <w:r>
              <w:t xml:space="preserve">+105%</w:t>
            </w:r>
          </w:p>
        </w:tc>
        <w:tc>
          <w:tcPr/>
          <w:p>
            <w:pPr>
              <w:pStyle w:val="Compact"/>
            </w:pPr>
          </w:p>
        </w:tc>
      </w:tr>
      <w:tr>
        <w:tc>
          <w:tcPr/>
          <w:p>
            <w:pPr>
              <w:pStyle w:val="Compact"/>
              <w:jc w:val="left"/>
            </w:pPr>
            <w:r>
              <w:t xml:space="preserve">Bilingual Engagement Rate</w:t>
            </w:r>
          </w:p>
        </w:tc>
        <w:tc>
          <w:tcPr/>
          <w:p>
            <w:pPr>
              <w:pStyle w:val="Compact"/>
              <w:jc w:val="left"/>
            </w:pPr>
            <w:r>
              <w:t xml:space="preserve">54%</w:t>
            </w:r>
          </w:p>
        </w:tc>
        <w:tc>
          <w:tcPr/>
          <w:p>
            <w:pPr>
              <w:pStyle w:val="Compact"/>
              <w:jc w:val="left"/>
            </w:pPr>
            <w:r>
              <w:t xml:space="preserve">89%</w:t>
            </w:r>
          </w:p>
        </w:tc>
        <w:tc>
          <w:tcPr/>
          <w:p>
            <w:pPr>
              <w:pStyle w:val="Compact"/>
              <w:jc w:val="left"/>
            </w:pPr>
            <w:r>
              <w:t xml:space="preserve">+65%</w:t>
            </w:r>
          </w:p>
        </w:tc>
        <w:tc>
          <w:tcPr/>
          <w:p>
            <w:pPr>
              <w:pStyle w:val="Compact"/>
            </w:pPr>
          </w:p>
        </w:tc>
      </w:tr>
      <w:tr>
        <w:tc>
          <w:tcPr/>
          <w:p>
            <w:pPr>
              <w:pStyle w:val="Compact"/>
              <w:jc w:val="left"/>
            </w:pPr>
            <w:r>
              <w:t xml:space="preserve">Event Attendance (Montreal)</w:t>
            </w:r>
          </w:p>
        </w:tc>
        <w:tc>
          <w:tcPr/>
          <w:p>
            <w:pPr>
              <w:pStyle w:val="Compact"/>
              <w:jc w:val="left"/>
            </w:pPr>
            <w:r>
              <w:t xml:space="preserve">1,200</w:t>
            </w:r>
          </w:p>
        </w:tc>
        <w:tc>
          <w:tcPr/>
          <w:p>
            <w:pPr>
              <w:pStyle w:val="Compact"/>
              <w:jc w:val="left"/>
            </w:pPr>
            <w:r>
              <w:t xml:space="preserve">4,350</w:t>
            </w:r>
          </w:p>
        </w:tc>
        <w:tc>
          <w:tcPr/>
          <w:p>
            <w:pPr>
              <w:pStyle w:val="Compact"/>
              <w:jc w:val="left"/>
            </w:pPr>
            <w:r>
              <w:t xml:space="preserve">+262%</w:t>
            </w:r>
          </w:p>
        </w:tc>
        <w:tc>
          <w:tcPr/>
          <w:p>
            <w:pPr>
              <w:pStyle w:val="Compact"/>
            </w:pPr>
          </w:p>
        </w:tc>
      </w:tr>
      <w:tr>
        <w:tc>
          <w:tcPr/>
          <w:p>
            <w:pPr>
              <w:pStyle w:val="Compact"/>
              <w:jc w:val="left"/>
            </w:pPr>
            <w:r>
              <w:t xml:space="preserve">Vote Commitment Rate</w:t>
            </w:r>
          </w:p>
        </w:tc>
        <w:tc>
          <w:tcPr/>
          <w:p>
            <w:pPr>
              <w:pStyle w:val="Compact"/>
              <w:jc w:val="left"/>
            </w:pPr>
            <w:r>
              <w:t xml:space="preserve">38%</w:t>
            </w:r>
          </w:p>
        </w:tc>
        <w:tc>
          <w:tcPr/>
          <w:p>
            <w:pPr>
              <w:pStyle w:val="Compact"/>
              <w:jc w:val="left"/>
            </w:pPr>
            <w:r>
              <w:t xml:space="preserve">59%</w:t>
            </w:r>
          </w:p>
        </w:tc>
        <w:tc>
          <w:tcPr/>
          <w:p>
            <w:pPr>
              <w:pStyle w:val="Compact"/>
              <w:jc w:val="left"/>
            </w:pPr>
            <w:r>
              <w:t xml:space="preserve">+55%</w:t>
            </w:r>
          </w:p>
        </w:tc>
        <w:tc>
          <w:tcPr/>
          <w:p>
            <w:pPr>
              <w:pStyle w:val="Compact"/>
            </w:pPr>
          </w:p>
        </w:tc>
      </w:tr>
    </w:tbl>
    <w:p>
      <w:pPr>
        <w:pStyle w:val="BodyText"/>
      </w:pPr>
      <w:r>
        <w:t xml:space="preserve">The data confirms our Politician's sales strategy is resonating with Montreal voters at unprecedented levels. Notably, the 89% bilingual engagement rate demonstrates successful adaptation to Quebec's linguistic requirements—a critical sales differentiator in Canada Montreal.</w:t>
      </w:r>
    </w:p>
    <w:bookmarkEnd w:id="23"/>
    <w:bookmarkStart w:id="24" w:name="Xaaf8b3c4368e7b19028902271f41df3e741fc3b"/>
    <w:p>
      <w:pPr>
        <w:pStyle w:val="Heading3"/>
      </w:pPr>
      <w:r>
        <w:t xml:space="preserve">V. Competitive Landscape: Sales Positioning Analysis</w:t>
      </w:r>
    </w:p>
    <w:p>
      <w:pPr>
        <w:pStyle w:val="FirstParagraph"/>
      </w:pPr>
      <w:r>
        <w:t xml:space="preserve">Our competitive intelligence reveals three key rivals with significantly lower engagement metrics:</w:t>
      </w:r>
    </w:p>
    <w:p>
      <w:pPr>
        <w:numPr>
          <w:ilvl w:val="0"/>
          <w:numId w:val="1003"/>
        </w:numPr>
        <w:pStyle w:val="Compact"/>
      </w:pPr>
      <w:r>
        <w:rPr>
          <w:bCs/>
          <w:b/>
        </w:rPr>
        <w:t xml:space="preserve">Candidate A (Incumbent):</w:t>
      </w:r>
      <w:r>
        <w:t xml:space="preserve"> </w:t>
      </w:r>
      <w:r>
        <w:t xml:space="preserve">28% voter recall, 41% event attendance—reliant on traditional campaigning without data-driven sales tactics</w:t>
      </w:r>
    </w:p>
    <w:p>
      <w:pPr>
        <w:numPr>
          <w:ilvl w:val="0"/>
          <w:numId w:val="1003"/>
        </w:numPr>
        <w:pStyle w:val="Compact"/>
      </w:pPr>
      <w:r>
        <w:rPr>
          <w:bCs/>
          <w:b/>
        </w:rPr>
        <w:t xml:space="preserve">Candidate B (Newcomer):</w:t>
      </w:r>
      <w:r>
        <w:t xml:space="preserve"> </w:t>
      </w:r>
      <w:r>
        <w:t xml:space="preserve">Strong French-language marketing but weak English outreach; missed 37% of Montreal's bilingual electorate</w:t>
      </w:r>
    </w:p>
    <w:p>
      <w:pPr>
        <w:numPr>
          <w:ilvl w:val="0"/>
          <w:numId w:val="1003"/>
        </w:numPr>
        <w:pStyle w:val="Compact"/>
      </w:pPr>
      <w:r>
        <w:rPr>
          <w:bCs/>
          <w:b/>
        </w:rPr>
        <w:t xml:space="preserve">Candidate C (Established):</w:t>
      </w:r>
      <w:r>
        <w:t xml:space="preserve"> </w:t>
      </w:r>
      <w:r>
        <w:t xml:space="preserve">High spending but 29% voter conversion rate—failure to localize the sales message for Montreal neighborhoods</w:t>
      </w:r>
    </w:p>
    <w:p>
      <w:pPr>
        <w:pStyle w:val="FirstParagraph"/>
      </w:pPr>
      <w:r>
        <w:t xml:space="preserve">Our Politician's competitive advantage lies in data-optimized sales sequencing: moving prospects from awareness (digital ads) → consideration (neighborhood forums) → decision (policy clinic consultations). This pipeline conversion is 3.2x higher than competitors.</w:t>
      </w:r>
    </w:p>
    <w:bookmarkEnd w:id="24"/>
    <w:bookmarkStart w:id="28" w:name="X8ae604ded4c31e5caeb51343ace2f7b06a7b2d6"/>
    <w:p>
      <w:pPr>
        <w:pStyle w:val="Heading3"/>
      </w:pPr>
      <w:r>
        <w:t xml:space="preserve">VI. Montreal-Specific Sales Success Stories</w:t>
      </w:r>
    </w:p>
    <w:p>
      <w:pPr>
        <w:pStyle w:val="FirstParagraph"/>
      </w:pPr>
      <w:r>
        <w:t xml:space="preserve">Three case studies illustrate our tailored approach:</w:t>
      </w:r>
    </w:p>
    <w:bookmarkStart w:id="25" w:name="plateau-mont-royal-housing-initiative"/>
    <w:p>
      <w:pPr>
        <w:pStyle w:val="Heading4"/>
      </w:pPr>
      <w:r>
        <w:t xml:space="preserve">1. Plateau-Mont-Royal Housing Initiative</w:t>
      </w:r>
    </w:p>
    <w:p>
      <w:pPr>
        <w:pStyle w:val="FirstParagraph"/>
      </w:pPr>
      <w:r>
        <w:rPr>
          <w:iCs/>
          <w:i/>
        </w:rPr>
        <w:t xml:space="preserve">Sales Challenge:</w:t>
      </w:r>
      <w:r>
        <w:t xml:space="preserve"> </w:t>
      </w:r>
      <w:r>
        <w:t xml:space="preserve">Low voter trust on housing affordability.</w:t>
      </w:r>
      <w:r>
        <w:br/>
      </w:r>
      <w:r>
        <w:rPr>
          <w:iCs/>
          <w:i/>
        </w:rPr>
        <w:t xml:space="preserve">Solution:</w:t>
      </w:r>
      <w:r>
        <w:t xml:space="preserve"> </w:t>
      </w:r>
      <w:r>
        <w:t xml:space="preserve">Hosted "Affordable Housing Showcases" at local cafés featuring real Montreal families.</w:t>
      </w:r>
      <w:r>
        <w:br/>
      </w:r>
      <w:r>
        <w:rPr>
          <w:iCs/>
          <w:i/>
        </w:rPr>
        <w:t xml:space="preserve">Result:</w:t>
      </w:r>
      <w:r>
        <w:t xml:space="preserve"> </w:t>
      </w:r>
      <w:r>
        <w:t xml:space="preserve">217 new committed voters from this single neighborhood—exceeding target by 183%.</w:t>
      </w:r>
    </w:p>
    <w:bookmarkEnd w:id="25"/>
    <w:bookmarkStart w:id="26" w:name="côte-des-neiges-transit-tour"/>
    <w:p>
      <w:pPr>
        <w:pStyle w:val="Heading4"/>
      </w:pPr>
      <w:r>
        <w:t xml:space="preserve">2. Côte-des-Neiges Transit Tour</w:t>
      </w:r>
    </w:p>
    <w:p>
      <w:pPr>
        <w:pStyle w:val="FirstParagraph"/>
      </w:pPr>
      <w:r>
        <w:rPr>
          <w:iCs/>
          <w:i/>
        </w:rPr>
        <w:t xml:space="preserve">Sales Challenge:</w:t>
      </w:r>
      <w:r>
        <w:t xml:space="preserve"> </w:t>
      </w:r>
      <w:r>
        <w:t xml:space="preserve">Voter frustration with bus delays.</w:t>
      </w:r>
      <w:r>
        <w:br/>
      </w:r>
      <w:r>
        <w:rPr>
          <w:iCs/>
          <w:i/>
        </w:rPr>
        <w:t xml:space="preserve">Solution:</w:t>
      </w:r>
      <w:r>
        <w:t xml:space="preserve"> </w:t>
      </w:r>
      <w:r>
        <w:t xml:space="preserve">Co-created "Transit Walk" with local community leaders, measuring actual commute times.</w:t>
      </w:r>
      <w:r>
        <w:br/>
      </w:r>
      <w:r>
        <w:rPr>
          <w:iCs/>
          <w:i/>
        </w:rPr>
        <w:t xml:space="preserve">Result:</w:t>
      </w:r>
      <w:r>
        <w:t xml:space="preserve"> </w:t>
      </w:r>
      <w:r>
        <w:t xml:space="preserve">152+ voter commitments; featured in 9 Montreal news outlets—proving tangible solution-selling.</w:t>
      </w:r>
    </w:p>
    <w:bookmarkEnd w:id="26"/>
    <w:bookmarkStart w:id="27" w:name="westmount-cultural-partnership"/>
    <w:p>
      <w:pPr>
        <w:pStyle w:val="Heading4"/>
      </w:pPr>
      <w:r>
        <w:t xml:space="preserve">3. Westmount Cultural Partnership</w:t>
      </w:r>
    </w:p>
    <w:p>
      <w:pPr>
        <w:pStyle w:val="FirstParagraph"/>
      </w:pPr>
      <w:r>
        <w:rPr>
          <w:iCs/>
          <w:i/>
        </w:rPr>
        <w:t xml:space="preserve">Sales Challenge:</w:t>
      </w:r>
      <w:r>
        <w:t xml:space="preserve"> </w:t>
      </w:r>
      <w:r>
        <w:t xml:space="preserve">English-speaking community skepticism.</w:t>
      </w:r>
      <w:r>
        <w:br/>
      </w:r>
      <w:r>
        <w:rPr>
          <w:iCs/>
          <w:i/>
        </w:rPr>
        <w:t xml:space="preserve">Solution:</w:t>
      </w:r>
      <w:r>
        <w:t xml:space="preserve"> </w:t>
      </w:r>
      <w:r>
        <w:t xml:space="preserve">Partnered with Westmount Library for bilingual policy workshops.</w:t>
      </w:r>
      <w:r>
        <w:br/>
      </w:r>
      <w:r>
        <w:rPr>
          <w:iCs/>
          <w:i/>
        </w:rPr>
        <w:t xml:space="preserve">Result:</w:t>
      </w:r>
      <w:r>
        <w:t xml:space="preserve"> </w:t>
      </w:r>
      <w:r>
        <w:t xml:space="preserve">118 new voters acquired—highest conversion rate in English-dominant districts.</w:t>
      </w:r>
    </w:p>
    <w:bookmarkEnd w:id="27"/>
    <w:bookmarkEnd w:id="28"/>
    <w:bookmarkStart w:id="29" w:name="X0e51c1a511b2f21f4d21e2b51eb7a88ed5224dc"/>
    <w:p>
      <w:pPr>
        <w:pStyle w:val="Heading3"/>
      </w:pPr>
      <w:r>
        <w:t xml:space="preserve">VII. Strategic Recommendations for Next Sales Cycle</w:t>
      </w:r>
    </w:p>
    <w:p>
      <w:pPr>
        <w:numPr>
          <w:ilvl w:val="0"/>
          <w:numId w:val="1004"/>
        </w:numPr>
        <w:pStyle w:val="Compact"/>
      </w:pPr>
      <w:r>
        <w:rPr>
          <w:bCs/>
          <w:b/>
        </w:rPr>
        <w:t xml:space="preserve">Double Down on Montreal Cultural Integration:</w:t>
      </w:r>
      <w:r>
        <w:t xml:space="preserve"> </w:t>
      </w:r>
      <w:r>
        <w:t xml:space="preserve">Allocate 25% of Q4 budget to neighborhood-specific sales events (e.g., Saint-Léonard street fairs)</w:t>
      </w:r>
    </w:p>
    <w:p>
      <w:pPr>
        <w:numPr>
          <w:ilvl w:val="0"/>
          <w:numId w:val="1004"/>
        </w:numPr>
        <w:pStyle w:val="Compact"/>
      </w:pPr>
      <w:r>
        <w:rPr>
          <w:bCs/>
          <w:b/>
        </w:rPr>
        <w:t xml:space="preserve">Launch "Policy Translator" App:</w:t>
      </w:r>
      <w:r>
        <w:t xml:space="preserve"> </w:t>
      </w:r>
      <w:r>
        <w:t xml:space="preserve">A bilingual digital tool letting voters simulate the Politician's platform impact on their specific block</w:t>
      </w:r>
    </w:p>
    <w:p>
      <w:pPr>
        <w:numPr>
          <w:ilvl w:val="0"/>
          <w:numId w:val="1004"/>
        </w:numPr>
        <w:pStyle w:val="Compact"/>
      </w:pPr>
      <w:r>
        <w:rPr>
          <w:bCs/>
          <w:b/>
        </w:rPr>
        <w:t xml:space="preserve">Develop Montreal-Only Voter Loyalty Program:</w:t>
      </w:r>
      <w:r>
        <w:t xml:space="preserve"> </w:t>
      </w:r>
      <w:r>
        <w:t xml:space="preserve">Exclusive community benefits for committed voters (e.g., free transit passes)</w:t>
      </w:r>
    </w:p>
    <w:bookmarkEnd w:id="29"/>
    <w:bookmarkStart w:id="30" w:name="X62e4862da81e6f7618dff60b9961031d79039d1"/>
    <w:p>
      <w:pPr>
        <w:pStyle w:val="Heading3"/>
      </w:pPr>
      <w:r>
        <w:t xml:space="preserve">VIII. Conclusion: The Future of Political Sales in Canada Montreal</w:t>
      </w:r>
    </w:p>
    <w:p>
      <w:pPr>
        <w:pStyle w:val="FirstParagraph"/>
      </w:pPr>
      <w:r>
        <w:t xml:space="preserve">This Sales Report proves that modern political campaigning in Canada Montreal demands sales discipline as much as policy substance. Our Politician's campaign has transformed voter acquisition from a passive activity into a high-precision sales operation—delivering 68% more new voters through data-driven, culturally intelligent engagement. The 59% vote commitment rate demonstrates Montreal electors are buying the Politician's vision, not just voting for them.</w:t>
      </w:r>
    </w:p>
    <w:p>
      <w:pPr>
        <w:pStyle w:val="BodyText"/>
      </w:pPr>
      <w:r>
        <w:t xml:space="preserve">As we prepare for election day, we remain committed to treating every Montreal voter interaction as a critical sales opportunity. This report isn't merely about electoral outcomes—it's about building a sustainable political business model that prioritizes the needs of Canada Montreal's citizens above all else. The success metrics confirm our strategy is not just working; it's setting a new standard for political sales in Canadian urban centers.</w:t>
      </w:r>
    </w:p>
    <w:p>
      <w:pPr>
        <w:pStyle w:val="BodyText"/>
      </w:pPr>
      <w:r>
        <w:rPr>
          <w:bCs/>
          <w:b/>
        </w:rPr>
        <w:t xml:space="preserve">Final Note:</w:t>
      </w:r>
      <w:r>
        <w:t xml:space="preserve"> </w:t>
      </w:r>
      <w:r>
        <w:t xml:space="preserve">All campaign activities strictly comply with Elections Canada regulations and Montreal municipal bylaws. This Sales Report reflects ethical political engagement, not "salesmanship" in the commercial sense.</w:t>
      </w:r>
    </w:p>
    <w:p>
      <w:r>
        <w:pict>
          <v:rect style="width:0;height:1.5pt" o:hralign="center" o:hrstd="t" o:hr="t"/>
        </w:pict>
      </w:r>
    </w:p>
    <w:p>
      <w:pPr>
        <w:pStyle w:val="FirstParagraph"/>
      </w:pPr>
      <w:r>
        <w:rPr>
          <w:iCs/>
          <w:i/>
        </w:rPr>
        <w:t xml:space="preserve">This document is confidential. Prepared for Montreal Political Advisory Board only. Distribution restricted to authorized personnel per Quebec's Private Sector Act.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Montreal 2024</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