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Campaign</w:t>
      </w:r>
      <w:r>
        <w:t xml:space="preserve"> </w:t>
      </w:r>
      <w:r>
        <w:t xml:space="preserve">Sales</w:t>
      </w:r>
      <w:r>
        <w:t xml:space="preserve"> </w:t>
      </w:r>
      <w:r>
        <w:t xml:space="preserve">Report:</w:t>
      </w:r>
      <w:r>
        <w:t xml:space="preserve"> </w:t>
      </w:r>
      <w:r>
        <w:t xml:space="preserve">Toronto</w:t>
      </w:r>
      <w:r>
        <w:t xml:space="preserve"> </w:t>
      </w:r>
      <w:r>
        <w:t xml:space="preserve">2023</w:t>
      </w:r>
    </w:p>
    <w:bookmarkStart w:id="30" w:name="X008f51437f0aa24eeb1d7793c12dd365e954202"/>
    <w:p>
      <w:pPr>
        <w:pStyle w:val="Heading1"/>
      </w:pPr>
      <w:r>
        <w:t xml:space="preserve">Comprehensive Sales Performance Report: Alexandra Chen for Toronto Mayoralty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Toronto City Council Campaign Committee &amp; Canadian Political Advisory Board</w:t>
      </w:r>
      <w:r>
        <w:br/>
      </w:r>
      <w:r>
        <w:rPr>
          <w:bCs/>
          <w:b/>
        </w:rPr>
        <w:t xml:space="preserve">Campaign Lead:</w:t>
      </w:r>
      <w:r>
        <w:t xml:space="preserve"> </w:t>
      </w:r>
      <w:r>
        <w:t xml:space="preserve">Alexandra Chen, Mayor Candidate for Canada's Largest Metropolis</w:t>
      </w:r>
    </w:p>
    <w:bookmarkStart w:id="20" w:name="i.-executive-summary"/>
    <w:p>
      <w:pPr>
        <w:pStyle w:val="Heading2"/>
      </w:pPr>
      <w:r>
        <w:t xml:space="preserve">I. Executive Summary</w:t>
      </w:r>
    </w:p>
    <w:p>
      <w:pPr>
        <w:pStyle w:val="FirstParagraph"/>
      </w:pPr>
      <w:r>
        <w:t xml:space="preserve">This Sales Report details the unprecedented performance of Politician Alexandra Chen's campaign across Toronto, Canada during Q3-Q4 2023. Serving as a strategic sales document for political engagement, it demonstrates how our candidate has transformed voter acquisition metrics into measurable community impact. The campaign achieved 187% of its core sales targets through innovative digital outreach and hyper-local community engagement—proving that effective political "sales" in Toronto requires authentic connection over traditional campaigning.</w:t>
      </w:r>
    </w:p>
    <w:bookmarkEnd w:id="20"/>
    <w:bookmarkStart w:id="21" w:name="Xcdec7075111e1626fb2ee8f286f45f16c9597be"/>
    <w:p>
      <w:pPr>
        <w:pStyle w:val="Heading2"/>
      </w:pPr>
      <w:r>
        <w:t xml:space="preserve">II. Key Sales Metrics: Toronto Market Performance</w:t>
      </w:r>
    </w:p>
    <w:p>
      <w:pPr>
        <w:pStyle w:val="FirstParagraph"/>
      </w:pPr>
      <w:r>
        <w:t xml:space="preserve">Unlike conventional product sales, our campaign measured success through voter acquisition, policy support conversion rates, and community partnership activations—mirroring high-stakes sales objectives in Canada's most diverse urban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Target (Q3)</w:t>
            </w:r>
          </w:p>
        </w:tc>
        <w:tc>
          <w:tcPr/>
          <w:p>
            <w:pPr>
              <w:pStyle w:val="Compact"/>
              <w:jc w:val="left"/>
            </w:pPr>
            <w:r>
              <w:t xml:space="preserve">Actual (Q3-Q4)</w:t>
            </w:r>
          </w:p>
        </w:tc>
        <w:tc>
          <w:tcPr/>
          <w:p>
            <w:pPr>
              <w:pStyle w:val="Compact"/>
              <w:jc w:val="left"/>
            </w:pPr>
            <w:r>
              <w:t xml:space="preserve">Variance</w:t>
            </w:r>
          </w:p>
        </w:tc>
      </w:tr>
      <w:tr>
        <w:tc>
          <w:tcPr/>
          <w:p>
            <w:pPr>
              <w:pStyle w:val="Compact"/>
              <w:jc w:val="left"/>
            </w:pPr>
            <w:r>
              <w:t xml:space="preserve">Fundraising Revenue</w:t>
            </w:r>
          </w:p>
        </w:tc>
        <w:tc>
          <w:tcPr/>
          <w:p>
            <w:pPr>
              <w:pStyle w:val="Compact"/>
              <w:jc w:val="left"/>
            </w:pPr>
            <w:r>
              <w:t xml:space="preserve">$1.2M CAD</w:t>
            </w:r>
          </w:p>
        </w:tc>
        <w:tc>
          <w:tcPr/>
          <w:p>
            <w:pPr>
              <w:pStyle w:val="Compact"/>
              <w:jc w:val="left"/>
            </w:pPr>
            <w:r>
              <w:t xml:space="preserve">$2.24M CAD</w:t>
            </w:r>
          </w:p>
        </w:tc>
        <w:tc>
          <w:tcPr/>
          <w:p>
            <w:pPr>
              <w:pStyle w:val="Compact"/>
              <w:jc w:val="left"/>
            </w:pPr>
            <w:r>
              <w:t xml:space="preserve">+86.7%</w:t>
            </w:r>
          </w:p>
        </w:tc>
      </w:tr>
      <w:tr>
        <w:tc>
          <w:tcPr/>
          <w:p>
            <w:pPr>
              <w:pStyle w:val="Compact"/>
              <w:jc w:val="left"/>
            </w:pPr>
            <w:r>
              <w:t xml:space="preserve">Voter Sign-ups (Digital)</w:t>
            </w:r>
          </w:p>
        </w:tc>
        <w:tc>
          <w:tcPr/>
          <w:p>
            <w:pPr>
              <w:pStyle w:val="Compact"/>
              <w:jc w:val="left"/>
            </w:pPr>
            <w:r>
              <w:t xml:space="preserve">45,000</w:t>
            </w:r>
          </w:p>
        </w:tc>
        <w:tc>
          <w:tcPr/>
          <w:p>
            <w:pPr>
              <w:pStyle w:val="Compact"/>
              <w:jc w:val="left"/>
            </w:pPr>
            <w:r>
              <w:t xml:space="preserve">98,312</w:t>
            </w:r>
          </w:p>
        </w:tc>
        <w:tc>
          <w:tcPr/>
          <w:p>
            <w:pPr>
              <w:pStyle w:val="Compact"/>
              <w:jc w:val="left"/>
            </w:pPr>
            <w:r>
              <w:t xml:space="preserve">+118.5%</w:t>
            </w:r>
          </w:p>
        </w:tc>
      </w:tr>
      <w:tr>
        <w:tc>
          <w:tcPr/>
          <w:p>
            <w:pPr>
              <w:pStyle w:val="Compact"/>
              <w:jc w:val="left"/>
            </w:pPr>
            <w:r>
              <w:t xml:space="preserve">Community Partnership Agreements</w:t>
            </w:r>
          </w:p>
        </w:tc>
        <w:tc>
          <w:tcPr/>
          <w:p>
            <w:pPr>
              <w:pStyle w:val="Compact"/>
              <w:jc w:val="left"/>
            </w:pPr>
            <w:r>
              <w:t xml:space="preserve">75</w:t>
            </w:r>
          </w:p>
        </w:tc>
        <w:tc>
          <w:tcPr/>
          <w:p>
            <w:pPr>
              <w:pStyle w:val="Compact"/>
              <w:jc w:val="left"/>
            </w:pPr>
            <w:r>
              <w:t xml:space="preserve">243</w:t>
            </w:r>
          </w:p>
        </w:tc>
        <w:tc>
          <w:tcPr/>
          <w:p>
            <w:pPr>
              <w:pStyle w:val="Compact"/>
              <w:jc w:val="left"/>
            </w:pPr>
            <w:r>
              <w:t xml:space="preserve">+224%</w:t>
            </w:r>
          </w:p>
        </w:tc>
      </w:tr>
      <w:tr>
        <w:tc>
          <w:tcPr/>
          <w:p>
            <w:pPr>
              <w:pStyle w:val="Compact"/>
              <w:jc w:val="left"/>
            </w:pPr>
            <w:r>
              <w:t xml:space="preserve">Voter Support (Polling)</w:t>
            </w:r>
          </w:p>
        </w:tc>
        <w:tc>
          <w:tcPr/>
          <w:p>
            <w:pPr>
              <w:pStyle w:val="Compact"/>
              <w:jc w:val="left"/>
            </w:pPr>
            <w:r>
              <w:t xml:space="preserve">31%</w:t>
            </w:r>
          </w:p>
        </w:tc>
        <w:tc>
          <w:tcPr/>
          <w:p>
            <w:pPr>
              <w:pStyle w:val="Compact"/>
              <w:jc w:val="left"/>
            </w:pPr>
            <w:r>
              <w:t xml:space="preserve">58.6%</w:t>
            </w:r>
          </w:p>
        </w:tc>
        <w:tc>
          <w:tcPr/>
          <w:p>
            <w:pPr>
              <w:pStyle w:val="Compact"/>
              <w:jc w:val="left"/>
            </w:pPr>
            <w:r>
              <w:t xml:space="preserve">+89.0%</w:t>
            </w:r>
          </w:p>
        </w:tc>
      </w:tr>
    </w:tbl>
    <w:bookmarkEnd w:id="21"/>
    <w:bookmarkStart w:id="24" w:name="X759514b3ae1a18e6e0c465b8fcb20a6f0fc2162"/>
    <w:p>
      <w:pPr>
        <w:pStyle w:val="Heading2"/>
      </w:pPr>
      <w:r>
        <w:t xml:space="preserve">III. Sales Strategy Breakdown: Toronto-Specific Tactics</w:t>
      </w:r>
    </w:p>
    <w:bookmarkStart w:id="22" w:name="X88ee4775a2e80ed75ba3cfce8b0b3868a3aa134"/>
    <w:p>
      <w:pPr>
        <w:pStyle w:val="Heading3"/>
      </w:pPr>
      <w:r>
        <w:t xml:space="preserve">A) Hyper-Localized Digital "Product" Positioning</w:t>
      </w:r>
    </w:p>
    <w:p>
      <w:pPr>
        <w:pStyle w:val="FirstParagraph"/>
      </w:pPr>
      <w:r>
        <w:t xml:space="preserve">Rather than generic messaging, our campaign developed neighborhood-specific value propositions that resonated with Toronto's 140+ unique communities. For example:</w:t>
      </w:r>
    </w:p>
    <w:p>
      <w:pPr>
        <w:numPr>
          <w:ilvl w:val="0"/>
          <w:numId w:val="1001"/>
        </w:numPr>
        <w:pStyle w:val="Compact"/>
      </w:pPr>
      <w:r>
        <w:rPr>
          <w:bCs/>
          <w:b/>
        </w:rPr>
        <w:t xml:space="preserve">East York:</w:t>
      </w:r>
      <w:r>
        <w:t xml:space="preserve"> </w:t>
      </w:r>
      <w:r>
        <w:t xml:space="preserve">"Affordable Housing &amp; Transit Access" campaign targeting young families (converted 62% of digital leads)</w:t>
      </w:r>
    </w:p>
    <w:p>
      <w:pPr>
        <w:numPr>
          <w:ilvl w:val="0"/>
          <w:numId w:val="1001"/>
        </w:numPr>
        <w:pStyle w:val="Compact"/>
      </w:pPr>
      <w:r>
        <w:rPr>
          <w:bCs/>
          <w:b/>
        </w:rPr>
        <w:t xml:space="preserve">Downtown Core:</w:t>
      </w:r>
      <w:r>
        <w:t xml:space="preserve"> </w:t>
      </w:r>
      <w:r>
        <w:t xml:space="preserve">"Business-Friendly Innovation Districts" pitch for commercial stakeholders (secured 89 partnership agreements)</w:t>
      </w:r>
    </w:p>
    <w:p>
      <w:pPr>
        <w:numPr>
          <w:ilvl w:val="0"/>
          <w:numId w:val="1001"/>
        </w:numPr>
        <w:pStyle w:val="Compact"/>
      </w:pPr>
      <w:r>
        <w:rPr>
          <w:bCs/>
          <w:b/>
        </w:rPr>
        <w:t xml:space="preserve">Scarborough:</w:t>
      </w:r>
      <w:r>
        <w:t xml:space="preserve"> </w:t>
      </w:r>
      <w:r>
        <w:t xml:space="preserve">"Cultural Hub Investment Initiative" driving 37% higher youth voter registration</w:t>
      </w:r>
    </w:p>
    <w:p>
      <w:pPr>
        <w:pStyle w:val="FirstParagraph"/>
      </w:pPr>
      <w:r>
        <w:t xml:space="preserve">This approach transformed the Politician's platform from abstract policy into tangible community benefits—directly mirroring successful B2B sales methodology applied to municipal engagement.</w:t>
      </w:r>
    </w:p>
    <w:bookmarkEnd w:id="22"/>
    <w:bookmarkStart w:id="23" w:name="b-community-sales-force-activation"/>
    <w:p>
      <w:pPr>
        <w:pStyle w:val="Heading3"/>
      </w:pPr>
      <w:r>
        <w:t xml:space="preserve">B) Community "Sales Force" Activation</w:t>
      </w:r>
    </w:p>
    <w:p>
      <w:pPr>
        <w:pStyle w:val="FirstParagraph"/>
      </w:pPr>
      <w:r>
        <w:t xml:space="preserve">We trained 1,850 volunteer "sales representatives" (community leaders, small business owners, and cultural influencers) across Toronto neighborhoods. Each was equipped with localized data sheets showing how Chen's policies directly impacted their specific area. This grassroots sales network generated:</w:t>
      </w:r>
    </w:p>
    <w:p>
      <w:pPr>
        <w:numPr>
          <w:ilvl w:val="0"/>
          <w:numId w:val="1002"/>
        </w:numPr>
        <w:pStyle w:val="Compact"/>
      </w:pPr>
      <w:r>
        <w:t xml:space="preserve">43% of all new voter sign-ups</w:t>
      </w:r>
    </w:p>
    <w:p>
      <w:pPr>
        <w:numPr>
          <w:ilvl w:val="0"/>
          <w:numId w:val="1002"/>
        </w:numPr>
        <w:pStyle w:val="Compact"/>
      </w:pPr>
      <w:r>
        <w:t xml:space="preserve">78% of partnership agreements</w:t>
      </w:r>
    </w:p>
    <w:p>
      <w:pPr>
        <w:numPr>
          <w:ilvl w:val="0"/>
          <w:numId w:val="1002"/>
        </w:numPr>
        <w:pStyle w:val="Compact"/>
      </w:pPr>
      <w:r>
        <w:t xml:space="preserve">92% positive sentiment in neighborhood focus groups (vs. 58% industry average for Toronto campaigns)</w:t>
      </w:r>
    </w:p>
    <w:bookmarkEnd w:id="23"/>
    <w:bookmarkEnd w:id="24"/>
    <w:bookmarkStart w:id="25" w:name="Xdec41faf76440052da51d23c3f0ce175fa7a73c"/>
    <w:p>
      <w:pPr>
        <w:pStyle w:val="Heading2"/>
      </w:pPr>
      <w:r>
        <w:t xml:space="preserve">IV. Overcoming Toronto-Specific Sales Challenges</w:t>
      </w:r>
    </w:p>
    <w:p>
      <w:pPr>
        <w:pStyle w:val="FirstParagraph"/>
      </w:pPr>
      <w:r>
        <w:t xml:space="preserve">The competitive Canadian political landscape presented unique obstacles:</w:t>
      </w:r>
    </w:p>
    <w:p>
      <w:pPr>
        <w:numPr>
          <w:ilvl w:val="0"/>
          <w:numId w:val="1003"/>
        </w:numPr>
        <w:pStyle w:val="Compact"/>
      </w:pPr>
      <w:r>
        <w:rPr>
          <w:bCs/>
          <w:b/>
        </w:rPr>
        <w:t xml:space="preserve">Geographic Complexity:</w:t>
      </w:r>
      <w:r>
        <w:t xml:space="preserve"> </w:t>
      </w:r>
      <w:r>
        <w:t xml:space="preserve">631 square kilometers of diverse communities required customized engagement—not one-size-fits-all messaging. Solution: AI-powered neighborhood sentiment analysis for real-time pitch adjustments.</w:t>
      </w:r>
    </w:p>
    <w:p>
      <w:pPr>
        <w:numPr>
          <w:ilvl w:val="0"/>
          <w:numId w:val="1003"/>
        </w:numPr>
        <w:pStyle w:val="Compact"/>
      </w:pPr>
      <w:r>
        <w:rPr>
          <w:bCs/>
          <w:b/>
        </w:rPr>
        <w:t xml:space="preserve">Diverse Demographics:</w:t>
      </w:r>
      <w:r>
        <w:t xml:space="preserve"> </w:t>
      </w:r>
      <w:r>
        <w:t xml:space="preserve">Toronto's 49% immigrant population demanded multilingual outreach. Solution: Launched campaign in 12 languages (including Punjabi, Portuguese, and Spanish) with locally produced content—boosting sign-up rates by 33% in key ethnic hubs.</w:t>
      </w:r>
    </w:p>
    <w:p>
      <w:pPr>
        <w:numPr>
          <w:ilvl w:val="0"/>
          <w:numId w:val="1003"/>
        </w:numPr>
        <w:pStyle w:val="Compact"/>
      </w:pPr>
      <w:r>
        <w:rPr>
          <w:bCs/>
          <w:b/>
        </w:rPr>
        <w:t xml:space="preserve">Media Fragmentation:</w:t>
      </w:r>
      <w:r>
        <w:t xml:space="preserve"> </w:t>
      </w:r>
      <w:r>
        <w:t xml:space="preserve">Traditional Toronto media consumed only 17% of voter attention. Solution: Shifted 89% of budget to targeted digital sales channels (TikTok, community WhatsApp groups, and neighborhood Facebook pages).</w:t>
      </w:r>
    </w:p>
    <w:bookmarkEnd w:id="25"/>
    <w:bookmarkStart w:id="26" w:name="Xf6258d6f48952673dbe1bbdf841862811254648"/>
    <w:p>
      <w:pPr>
        <w:pStyle w:val="Heading2"/>
      </w:pPr>
      <w:r>
        <w:t xml:space="preserve">V. Financial Sales Performance: Canada Toronto Context</w:t>
      </w:r>
    </w:p>
    <w:p>
      <w:pPr>
        <w:pStyle w:val="FirstParagraph"/>
      </w:pPr>
      <w:r>
        <w:t xml:space="preserve">Our fundraising strategy outperformed all previous Toronto municipal campaigns:</w:t>
      </w:r>
    </w:p>
    <w:p>
      <w:pPr>
        <w:numPr>
          <w:ilvl w:val="0"/>
          <w:numId w:val="1004"/>
        </w:numPr>
        <w:pStyle w:val="Compact"/>
      </w:pPr>
      <w:r>
        <w:rPr>
          <w:bCs/>
          <w:b/>
        </w:rPr>
        <w:t xml:space="preserve">Micro-Donations (Under $50):</w:t>
      </w:r>
      <w:r>
        <w:t xml:space="preserve"> </w:t>
      </w:r>
      <w:r>
        <w:t xml:space="preserve">68% of total revenue—proving the power of community ownership. This surpassed the Toronto average by 217%.</w:t>
      </w:r>
    </w:p>
    <w:p>
      <w:pPr>
        <w:numPr>
          <w:ilvl w:val="0"/>
          <w:numId w:val="1004"/>
        </w:numPr>
        <w:pStyle w:val="Compact"/>
      </w:pPr>
      <w:r>
        <w:rPr>
          <w:bCs/>
          <w:b/>
        </w:rPr>
        <w:t xml:space="preserve">Campaign-to-Business Partnerships:</w:t>
      </w:r>
      <w:r>
        <w:t xml:space="preserve"> </w:t>
      </w:r>
      <w:r>
        <w:t xml:space="preserve">Secured $934K from local businesses through "Community Investment Packages" (e.g., $500 for voter canvassing in their district). This created a sustainable revenue model unlike typical election fundraising.</w:t>
      </w:r>
    </w:p>
    <w:p>
      <w:pPr>
        <w:numPr>
          <w:ilvl w:val="0"/>
          <w:numId w:val="1004"/>
        </w:numPr>
        <w:pStyle w:val="Compact"/>
      </w:pPr>
      <w:r>
        <w:rPr>
          <w:bCs/>
          <w:b/>
        </w:rPr>
        <w:t xml:space="preserve">Cost Per Acquisition (CPA):</w:t>
      </w:r>
      <w:r>
        <w:t xml:space="preserve"> </w:t>
      </w:r>
      <w:r>
        <w:t xml:space="preserve">$12.78/voter—37% below the Toronto political benchmark of $20.35.</w:t>
      </w:r>
    </w:p>
    <w:bookmarkEnd w:id="26"/>
    <w:bookmarkStart w:id="27" w:name="Xf233d8fc279f0433f5738158bd2d1369aad0409"/>
    <w:p>
      <w:pPr>
        <w:pStyle w:val="Heading2"/>
      </w:pPr>
      <w:r>
        <w:t xml:space="preserve">VI. Market Positioning: Why Toronto Voters "Purchased" Chen</w:t>
      </w:r>
    </w:p>
    <w:p>
      <w:pPr>
        <w:pStyle w:val="FirstParagraph"/>
      </w:pPr>
      <w:r>
        <w:t xml:space="preserve">The data reveals a fundamental shift in how Canadians view political sales:</w:t>
      </w:r>
    </w:p>
    <w:p>
      <w:pPr>
        <w:numPr>
          <w:ilvl w:val="0"/>
          <w:numId w:val="1005"/>
        </w:numPr>
        <w:pStyle w:val="Compact"/>
      </w:pPr>
      <w:r>
        <w:rPr>
          <w:bCs/>
          <w:b/>
        </w:rPr>
        <w:t xml:space="preserve">Trust as the Premium Product:</w:t>
      </w:r>
      <w:r>
        <w:t xml:space="preserve"> </w:t>
      </w:r>
      <w:r>
        <w:t xml:space="preserve">89% of voters cited "authentic community connection" over policy details as their primary reason for support—proving trust drives conversion in Toronto's competitive market.</w:t>
      </w:r>
    </w:p>
    <w:p>
      <w:pPr>
        <w:numPr>
          <w:ilvl w:val="0"/>
          <w:numId w:val="1005"/>
        </w:numPr>
        <w:pStyle w:val="Compact"/>
      </w:pPr>
      <w:r>
        <w:rPr>
          <w:bCs/>
          <w:b/>
        </w:rPr>
        <w:t xml:space="preserve">Value Proposition Clarity:</w:t>
      </w:r>
      <w:r>
        <w:t xml:space="preserve"> </w:t>
      </w:r>
      <w:r>
        <w:t xml:space="preserve">Campaign messaging consistently linked policies to immediate community benefits (e.g., "Your $200 donation = 15 hours of childcare funding"). This transparency increased conversion rates by 2.3x.</w:t>
      </w:r>
    </w:p>
    <w:p>
      <w:pPr>
        <w:numPr>
          <w:ilvl w:val="0"/>
          <w:numId w:val="1005"/>
        </w:numPr>
        <w:pStyle w:val="Compact"/>
      </w:pPr>
      <w:r>
        <w:rPr>
          <w:bCs/>
          <w:b/>
        </w:rPr>
        <w:t xml:space="preserve">Community as Co-Creator:</w:t>
      </w:r>
      <w:r>
        <w:t xml:space="preserve"> </w:t>
      </w:r>
      <w:r>
        <w:t xml:space="preserve">Voters weren't passive buyers—they were invited to shape campaign priorities through digital town halls. This created an ownership mentality driving higher engagement (47% retention rate vs. industry average of 29%).</w:t>
      </w:r>
    </w:p>
    <w:bookmarkEnd w:id="27"/>
    <w:bookmarkStart w:id="28" w:name="X84bb1f822d8306a309f3a853a181755d9a3c75e"/>
    <w:p>
      <w:pPr>
        <w:pStyle w:val="Heading2"/>
      </w:pPr>
      <w:r>
        <w:t xml:space="preserve">VII. Future Sales Roadmap: Post-Election Toronto Strategy</w:t>
      </w:r>
    </w:p>
    <w:p>
      <w:pPr>
        <w:pStyle w:val="FirstParagraph"/>
      </w:pPr>
      <w:r>
        <w:t xml:space="preserve">As the Politician prepares for her transition from campaign sales to governance, we recommend:</w:t>
      </w:r>
    </w:p>
    <w:p>
      <w:pPr>
        <w:numPr>
          <w:ilvl w:val="0"/>
          <w:numId w:val="1006"/>
        </w:numPr>
        <w:pStyle w:val="Compact"/>
      </w:pPr>
      <w:r>
        <w:rPr>
          <w:bCs/>
          <w:b/>
        </w:rPr>
        <w:t xml:space="preserve">Launch "Service Portfolio" Website:</w:t>
      </w:r>
      <w:r>
        <w:t xml:space="preserve"> </w:t>
      </w:r>
      <w:r>
        <w:t xml:space="preserve">Convert voter sign-ups into ongoing community service participants (e.g., volunteering in infrastructure projects). This builds long-term relationship value beyond election cycles.</w:t>
      </w:r>
    </w:p>
    <w:p>
      <w:pPr>
        <w:numPr>
          <w:ilvl w:val="0"/>
          <w:numId w:val="1006"/>
        </w:numPr>
        <w:pStyle w:val="Compact"/>
      </w:pPr>
      <w:r>
        <w:rPr>
          <w:bCs/>
          <w:b/>
        </w:rPr>
        <w:t xml:space="preserve">Leverage Partnership Data:</w:t>
      </w:r>
      <w:r>
        <w:t xml:space="preserve"> </w:t>
      </w:r>
      <w:r>
        <w:t xml:space="preserve">Use the 243 community agreements as a sales tool for municipal contracts—demonstrating proven local support to provincial/federal stakeholders.</w:t>
      </w:r>
    </w:p>
    <w:p>
      <w:pPr>
        <w:numPr>
          <w:ilvl w:val="0"/>
          <w:numId w:val="1006"/>
        </w:numPr>
        <w:pStyle w:val="Compact"/>
      </w:pPr>
      <w:r>
        <w:rPr>
          <w:bCs/>
          <w:b/>
        </w:rPr>
        <w:t xml:space="preserve">Implement Toronto "Customer Feedback Loop":</w:t>
      </w:r>
      <w:r>
        <w:t xml:space="preserve"> </w:t>
      </w:r>
      <w:r>
        <w:t xml:space="preserve">Monthly citizen satisfaction surveys (like product feedback) to refine policy execution, ensuring continuous engagement with Canada's most demanding urban electorate.</w:t>
      </w:r>
    </w:p>
    <w:bookmarkEnd w:id="28"/>
    <w:bookmarkStart w:id="29" w:name="Xc0093bfa0e3187c177426e1d37dca0d1b83f618"/>
    <w:p>
      <w:pPr>
        <w:pStyle w:val="Heading2"/>
      </w:pPr>
      <w:r>
        <w:t xml:space="preserve">VIII. Conclusion: Redefining Political Sales in Canada Toronto</w:t>
      </w:r>
    </w:p>
    <w:p>
      <w:pPr>
        <w:pStyle w:val="FirstParagraph"/>
      </w:pPr>
      <w:r>
        <w:t xml:space="preserve">This Sales Report demonstrates that in 2023, Toronto's voters aren't purchasing policies—they're investing in community relationships. Politician Alexandra Chen's campaign has achieved unprecedented success by treating political engagement as a continuous sales journey rather than a transactional election. The data proves that when campaigns prioritize authentic local value (not just votes), they create sustainable growth—transforming Toronto from Canada's most expensive municipal market into its most rewarding one.</w:t>
      </w:r>
    </w:p>
    <w:p>
      <w:pPr>
        <w:pStyle w:val="BodyText"/>
      </w:pPr>
      <w:r>
        <w:t xml:space="preserve">With 58.6% voter support and $2.24M in community-backed funding, the campaign has not only met but exceeded all sales targets. The true "product" delivered wasn't just a mayoral victory—it was renewed civic trust across Toronto's 30 boroughs, setting a new benchmark for political engagement in Canada.</w:t>
      </w:r>
    </w:p>
    <w:p>
      <w:pPr>
        <w:pStyle w:val="BodyText"/>
      </w:pPr>
      <w:r>
        <w:rPr>
          <w:bCs/>
          <w:b/>
        </w:rPr>
        <w:t xml:space="preserve">Prepared By:</w:t>
      </w:r>
      <w:r>
        <w:t xml:space="preserve"> </w:t>
      </w:r>
      <w:r>
        <w:t xml:space="preserve">Toronto Campaign Analytics Division</w:t>
      </w:r>
      <w:r>
        <w:br/>
      </w:r>
      <w:r>
        <w:rPr>
          <w:bCs/>
          <w:b/>
        </w:rPr>
        <w:t xml:space="preserve">For Inquiries:</w:t>
      </w:r>
      <w:r>
        <w:t xml:space="preserve"> </w:t>
      </w:r>
      <w:r>
        <w:t xml:space="preserve">analytics@chenfortoronto.ca | (416) 555-7890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Sales Report: Toronto 2023</dc:title>
  <dc:creator/>
  <dc:language>en</dc:language>
  <cp:keywords/>
  <dcterms:created xsi:type="dcterms:W3CDTF">2026-06-01T17:10:39Z</dcterms:created>
  <dcterms:modified xsi:type="dcterms:W3CDTF">2026-06-01T17:10:39Z</dcterms:modified>
</cp:coreProperties>
</file>

<file path=docProps/custom.xml><?xml version="1.0" encoding="utf-8"?>
<Properties xmlns="http://schemas.openxmlformats.org/officeDocument/2006/custom-properties" xmlns:vt="http://schemas.openxmlformats.org/officeDocument/2006/docPropsVTypes"/>
</file>